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13241</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fmt="decimal" w:start="7"/>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7216;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widowControl/>
        <w:suppressLineNumbers w:val="0"/>
        <w:jc w:val="center"/>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昱字鉴估字2020第0100号</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13241</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r>
        <w:rPr>
          <w:rFonts w:ascii="宋体" w:cs="宋体" w:eastAsia="宋体" w:hAnsi="宋体" w:hint="eastAsia"/>
          <w:sz w:val="28"/>
          <w:szCs w:val="28"/>
        </w:rPr>
        <w:t>委托方：</w:t>
      </w:r>
      <w:bookmarkStart w:id="0" w:name="_Hlk42691717"/>
      <w:r>
        <w:rPr>
          <w:rFonts w:ascii="宋体" w:cs="宋体" w:eastAsia="宋体" w:hAnsi="宋体" w:hint="eastAsia"/>
          <w:sz w:val="30"/>
          <w:szCs w:val="28"/>
        </w:rPr>
        <w:rPr>
          <w:rFonts w:eastAsia="宋体" w:ascii="宋体"/>
        </w:rPr>
        <w:rPr>
          <w:shd w:fill=""/>
        </w:rPr>
        <w:t>1</w:t>
      </w:r>
      <w:bookmarkEnd w:id="0"/>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r>
        <w:rPr>
          <w:rFonts w:ascii="宋体" w:cs="宋体" w:eastAsia="宋体" w:hAnsi="宋体" w:hint="eastAsia"/>
          <w:sz w:val="28"/>
          <w:szCs w:val="28"/>
        </w:rPr>
        <w:t>评估方：</w:t>
      </w:r>
      <w:bookmarkStart w:id="1" w:name="_Hlk42691608"/>
      <w:r>
        <w:rPr>
          <w:rFonts w:ascii="宋体" w:cs="宋体" w:eastAsia="宋体" w:hAnsi="宋体" w:hint="eastAsia"/>
          <w:sz w:val="30"/>
          <w:szCs w:val="28"/>
        </w:rPr>
        <w:rPr>
          <w:rFonts w:eastAsia="宋体" w:ascii="宋体"/>
        </w:rPr>
        <w:rPr>
          <w:shd w:fill=""/>
        </w:rPr>
        <w:t>天津昱见科技发展有限公司</w:t>
      </w:r>
      <w:bookmarkEnd w:id="1"/>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15620612944</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3" w:firstLineChars="300" w:left="0" w:leftChars="0"/>
        <w:textAlignment w:val="auto"/>
        <w:rPr>
          <w:rFonts w:ascii="宋体" w:cs="宋体" w:eastAsia="宋体" w:hAnsi="宋体" w:hint="eastAsia"/>
          <w:b/>
          <w:bCs/>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yyc,yy,yy</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评估作业日期：</w:t>
      </w:r>
      <w:bookmarkStart w:id="2"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2020年12月21日</w:t>
      </w:r>
      <w:r>
        <w:rPr>
          <w:rFonts w:ascii="宋体" w:cs="宋体" w:eastAsia="宋体" w:hAnsi="宋体" w:hint="eastAsia"/>
          <w:sz w:val="28"/>
          <w:szCs w:val="28"/>
        </w:rPr>
        <w:t>---</w:t>
      </w:r>
      <w:bookmarkEnd w:id="2"/>
      <w:r>
        <w:rPr>
          <w:rFonts w:ascii="宋体" w:cs="宋体" w:eastAsia="宋体" w:hAnsi="宋体" w:hint="eastAsia"/>
          <w:sz w:val="30"/>
          <w:szCs w:val="28"/>
        </w:rPr>
        <w:rPr>
          <w:rFonts w:eastAsia="宋体" w:ascii="宋体"/>
        </w:rPr>
        <w:rPr>
          <w:shd w:fill=""/>
        </w:rPr>
        <w:t>2021年04月21日</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天津昱见科技发展有限公司</w:t>
      </w:r>
    </w:p>
    <w:p>
      <w:pPr>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default"/>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评估原则</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1</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2021年04月21日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1</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2021年04月21日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昱字鉴估字2020第0100号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被鉴定对象</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numPr>
          <w:ilvl w:val="0"/>
          <w:numId w:val="1"/>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基本信息</w:t>
      </w:r>
    </w:p>
    <w:tbl>
      <w:tblPr>
        <w:tblStyle w:val="6"/>
        <w:tblW w:type="auto" w:w="0"/>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autofit"/>
        <w:tblCellMar>
          <w:top w:type="dxa" w:w="0"/>
          <w:left w:type="dxa" w:w="108"/>
          <w:bottom w:type="dxa" w:w="0"/>
          <w:right w:type="dxa" w:w="108"/>
        </w:tblCellMar>
      </w:tblPr>
      <w:tblGrid>
        <w:gridCol w:w="1905"/>
        <w:gridCol w:w="2388"/>
        <w:gridCol w:w="1906"/>
        <w:gridCol w:w="3763"/>
      </w:tblGrid>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c>
          <w:tcPr>
            <w:tcW w:type="dxa" w:w="2490"/>
            <w:vAlign w:val="center"/>
          </w:tcPr>
          <w:p>
            <w:pPr>
              <w:spacing w:line="680" w:lineRule="exact"/>
              <w:jc w:val="center"/>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dxa" w:w="2490"/>
            <w:vAlign w:val="center"/>
          </w:tcPr>
          <w:p>
            <w:pPr>
              <w:keepNext w:val="0"/>
              <w:keepLines w:val="0"/>
              <w:widowControl/>
              <w:suppressLineNumbers w:val="0"/>
              <w:jc w:val="left"/>
              <w:rPr>
                <w:rFonts w:ascii="宋体" w:cs="宋体" w:eastAsia="宋体" w:hAnsi="宋体" w:hint="eastAsia"/>
                <w:sz w:val="30"/>
                <w:szCs w:val="30"/>
                <w:vertAlign w:val="baseli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c>
          <w:tcPr>
            <w:tcW w:type="dxa" w:w="2491"/>
            <w:vAlign w:val="center"/>
          </w:tcPr>
          <w:p>
            <w:pPr>
              <w:spacing w:line="680" w:lineRule="exact"/>
              <w:jc w:val="center"/>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dxa" w:w="2491"/>
            <w:vAlign w:val="center"/>
          </w:tcPr>
          <w:p>
            <w:pPr>
              <w:keepNext w:val="0"/>
              <w:keepLines w:val="0"/>
              <w:widowControl/>
              <w:suppressLineNumbers w:val="0"/>
              <w:jc w:val="left"/>
              <w:rPr>
                <w:rFonts w:ascii="宋体" w:cs="宋体" w:eastAsia="宋体" w:hAnsi="宋体" w:hint="eastAsia"/>
                <w:sz w:val="30"/>
                <w:szCs w:val="30"/>
                <w:vertAlign w:val="baseli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r>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c>
          <w:tcPr>
            <w:tcW w:type="dxa" w:w="2490"/>
            <w:vAlign w:val="center"/>
          </w:tcPr>
          <w:p>
            <w:pPr>
              <w:spacing w:line="680" w:lineRule="exact"/>
              <w:jc w:val="center"/>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dxa" w:w="2490"/>
            <w:vAlign w:val="center"/>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c>
          <w:tcPr>
            <w:tcW w:type="dxa" w:w="2491"/>
            <w:vAlign w:val="center"/>
          </w:tcPr>
          <w:p>
            <w:pPr>
              <w:spacing w:line="680" w:lineRule="exact"/>
              <w:jc w:val="center"/>
              <w:rPr>
                <w:rFonts w:ascii="宋体" w:cs="宋体" w:eastAsia="宋体" w:hAnsi="宋体" w:hint="eastAsia"/>
                <w:sz w:val="30"/>
                <w:szCs w:val="30"/>
              </w:rPr>
            </w:pPr>
            <w:r>
              <w:rPr>
                <w:rFonts w:ascii="宋体" w:cs="宋体" w:eastAsia="宋体" w:hAnsi="宋体" w:hint="eastAsia"/>
                <w:sz w:val="30"/>
                <w:szCs w:val="30"/>
              </w:rPr>
              <w:t>证件号</w:t>
            </w:r>
          </w:p>
        </w:tc>
        <w:tc>
          <w:tcPr>
            <w:tcW w:type="dxa" w:w="2491"/>
            <w:vAlign w:val="center"/>
          </w:tcPr>
          <w:p>
            <w:pPr>
              <w:keepNext w:val="0"/>
              <w:keepLines w:val="0"/>
              <w:widowControl/>
              <w:suppressLineNumbers w:val="0"/>
              <w:jc w:val="left"/>
              <w:rPr>
                <w:rFonts w:ascii="宋体" w:cs="宋体" w:eastAsia="宋体" w:hAnsi="宋体" w:hint="eastAsia"/>
                <w:sz w:val="30"/>
                <w:szCs w:val="30"/>
                <w:vertAlign w:val="baseli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r>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c>
          <w:tcPr>
            <w:tcW w:type="dxa" w:w="2490"/>
            <w:vAlign w:val="center"/>
          </w:tcPr>
          <w:p>
            <w:pPr>
              <w:spacing w:line="680" w:lineRule="exact"/>
              <w:jc w:val="center"/>
              <w:rPr>
                <w:rFonts w:ascii="宋体" w:cs="宋体" w:eastAsia="宋体" w:hAnsi="宋体" w:hint="default"/>
                <w:sz w:val="30"/>
                <w:szCs w:val="30"/>
                <w:vertAlign w:val="baseline"/>
                <w:lang w:eastAsia="zh-CN" w:val="en-US"/>
              </w:rPr>
            </w:pPr>
            <w:r>
              <w:rPr>
                <w:rFonts w:ascii="宋体" w:cs="宋体" w:eastAsia="宋体" w:hAnsi="宋体" w:hint="eastAsia"/>
                <w:sz w:val="30"/>
                <w:szCs w:val="30"/>
                <w:vertAlign w:val="baseline"/>
                <w:lang w:eastAsia="zh-CN" w:val="en-US"/>
              </w:rPr>
              <w:t>财产名称</w:t>
            </w:r>
          </w:p>
        </w:tc>
        <w:tc>
          <w:tcPr>
            <w:tcW w:type="dxa" w:w="7472"/>
            <w:gridSpan w:val="3"/>
            <w:vAlign w:val="center"/>
          </w:tcPr>
          <w:p>
            <w:pPr>
              <w:keepNext w:val="0"/>
              <w:keepLines w:val="0"/>
              <w:widowControl/>
              <w:suppressLineNumbers w:val="0"/>
              <w:jc w:val="left"/>
              <w:rPr>
                <w:rFonts w:ascii="宋体" w:cs="宋体" w:eastAsia="宋体" w:hAnsi="宋体" w:hint="eastAsia"/>
                <w:sz w:val="30"/>
                <w:szCs w:val="30"/>
                <w:vertAlign w:val="baseli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13241</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Open Sans" w:cs="Open Sans" w:eastAsia="Open Sans" w:hAnsi="Open Sans"/>
          <w:b w:val="0"/>
          <w:i w:val="0"/>
          <w:caps w:val="0"/>
          <w:color w:val="333333"/>
          <w:spacing w:val="0"/>
          <w:kern w:val="0"/>
          <w:sz w:val="30"/>
          <w:szCs w:val="30"/>
          <w:u w:val="none"/>
          <w:shd w:fill="FFFFFF" w:val="clear"/>
          <w:lang w:bidi="ar" w:eastAsia="zh-CN" w:val="en-US"/>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2021年02月23日</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kern w:val="0"/>
          <w:sz w:val="32"/>
          <w:szCs w:val="32"/>
          <w:lang w:bidi="ar-SA" w:eastAsia="zh-CN" w:val="en-US"/>
        </w:rPr>
      </w:pPr>
      <w:r>
        <w:rPr>
          <w:rFonts w:ascii="黑体" w:cs="黑体" w:eastAsia="黑体" w:hAnsi="黑体" w:hint="eastAsia"/>
          <w:kern w:val="0"/>
          <w:sz w:val="32"/>
          <w:szCs w:val="32"/>
          <w:lang w:bidi="ar-SA" w:eastAsia="zh-CN" w:val="en-US"/>
        </w:rPr>
        <w:t>评估原则</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（一）遵循“客观、公正、真实、科学”的工作原则，进行独立的评估</w:t>
      </w:r>
      <w:r>
        <w:rPr>
          <w:rFonts w:ascii="宋体" w:cs="宋体" w:eastAsia="宋体" w:hAnsi="宋体" w:hint="eastAsia"/>
          <w:sz w:val="32"/>
          <w:szCs w:val="32"/>
          <w:lang w:eastAsia="zh-CN" w:val="en-US"/>
        </w:rPr>
        <w:t>。</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1、坚持客观、公正的原则：即在评估工作中，认真进行现场勘察和调查研究，掌握详实可靠的资料，采取符合实际的计价标准和方法，得出合理、可信、客观、公正的评估结果。</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2、坚持独立的原则：即在评估工作中，排除一切干扰，严格按照国家法律和法规进行评估操作，确保资产评估工作不受外界干扰和影响。除按合同支付评估费外，评估机构和评估人员与评估业务不存在其他利害关系。</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3、坚持科学性的原则：根据特定的评估方法，选择适用的价值类型和方法，制定科学的工作方案，采用科学的评估程序和方法，使评估结果科学、合理。</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（二）遵循资产评估公认的经济原则，科学合理地进行评估</w:t>
      </w:r>
      <w:r>
        <w:rPr>
          <w:rFonts w:ascii="宋体" w:cs="宋体" w:eastAsia="宋体" w:hAnsi="宋体" w:hint="eastAsia"/>
          <w:sz w:val="32"/>
          <w:szCs w:val="32"/>
          <w:lang w:eastAsia="zh-CN" w:val="en-US"/>
        </w:rPr>
        <w:t>。</w:t>
      </w:r>
      <w:bookmarkStart w:id="3" w:name="_GoBack"/>
      <w:bookmarkEnd w:id="3"/>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1、贡献原则：指某一资产或资产的某一构成部分的价值，取决于其对其他相关资产或资产整体的价值贡献。评估中综合考虑该项资产在整体资产构成中的重要性，而不是孤立地确定其价值。</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2、替代原则：指同时存在几种效能相同的资产时，最低价格的资产需求最大。评估中可通过了解有替代性的资产的价值，考虑委估资产价值。</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3、预期原则：资产的价值取决于现实资产的未来效用或获利能力。评估中通过合理预测其未来获利能力以及拥有获利能力的有效期限，确定资产价值。</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本次资产评估，评估人员按照国家有关国有资产管理及评估的有关法规和资产评估操作规范要求，遵循以上基本原则，对委估资产进行评估，以保证客观、公正地反映评估对象在评估基准日的公允市场价值，维护资产所有者合法权益。</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lang w:eastAsia="zh-CN" w:val="en-US"/>
        </w:rPr>
        <w:t>六</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1、123。</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1、213。</w:t>
      </w:r>
    </w:p>
    <w:p>
      <w:pPr>
        <w:keepNext w:val="0"/>
        <w:keepLines w:val="0"/>
        <w:pageBreakBefore w:val="0"/>
        <w:numPr>
          <w:ilvl w:val="0"/>
          <w:numId w:val="3"/>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1、昱字鉴估字2020第0100号；</w:t>
      </w:r>
      <w:r>
        <w:rPr>
          <w:sz w:val="30"/>
        </w:rPr>
        <w:rPr>
          <w:rFonts w:eastAsia="宋体" w:ascii="宋体"/>
        </w:rPr>
        <w:br/>
        <w:t>2、123。</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1、确定相关维修部位。</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lang w:eastAsia="zh-CN" w:val="en-US"/>
        </w:rPr>
        <w:t>七</w:t>
      </w:r>
      <w:r>
        <w:rPr>
          <w:rFonts w:ascii="黑体" w:cs="黑体" w:eastAsia="黑体" w:hAnsi="黑体" w:hint="eastAsia"/>
          <w:sz w:val="32"/>
          <w:szCs w:val="32"/>
        </w:rPr>
        <w:t>、鉴定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lang w:eastAsia="zh-CN" w:val="en-US"/>
        </w:rPr>
        <w:t>八</w:t>
      </w:r>
      <w:r>
        <w:rPr>
          <w:rFonts w:ascii="黑体" w:cs="黑体" w:eastAsia="黑体" w:hAnsi="黑体" w:hint="eastAsia"/>
          <w:sz w:val="32"/>
          <w:szCs w:val="32"/>
        </w:rPr>
        <w:t>、</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 清算价格法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eastAsia"/>
          <w:sz w:val="32"/>
          <w:szCs w:val="32"/>
          <w:lang w:eastAsia="zh-CN" w:val="en-US"/>
        </w:rPr>
        <w:t>九</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1、123。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eastAsia="zh-CN" w:val="en-US"/>
        </w:rPr>
        <w:t>十</w:t>
      </w:r>
      <w:r>
        <w:rPr>
          <w:rFonts w:ascii="黑体" w:cs="黑体" w:eastAsia="黑体" w:hAnsi="黑体" w:hint="eastAsia"/>
          <w:sz w:val="32"/>
          <w:szCs w:val="32"/>
        </w:rPr>
        <w:t>、鉴定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截止评估基准日鉴定评估对象损失金额为人民币：1111元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壹仟壹佰壹拾壹元整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w:t>
      </w:r>
      <w:r>
        <w:rPr>
          <w:rFonts w:ascii="黑体" w:cs="黑体" w:eastAsia="黑体" w:hAnsi="黑体" w:hint="eastAsia"/>
          <w:sz w:val="32"/>
          <w:szCs w:val="32"/>
          <w:lang w:bidi="ar" w:eastAsia="zh-CN" w:val="en-US"/>
        </w:rPr>
        <w:t>一</w:t>
      </w:r>
      <w:r>
        <w:rPr>
          <w:rFonts w:ascii="黑体" w:cs="黑体" w:eastAsia="黑体" w:hAnsi="黑体" w:hint="eastAsia"/>
          <w:sz w:val="32"/>
          <w:szCs w:val="32"/>
          <w:lang w:bidi="ar"/>
        </w:rPr>
        <w:t>、鉴定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4</w:t>
      </w:r>
      <w:r>
        <w:rPr>
          <w:rFonts w:ascii="宋体" w:cs="宋体" w:eastAsia="宋体" w:hAnsi="宋体" w:hint="eastAsia"/>
          <w:color w:val="454343"/>
          <w:sz w:val="30"/>
          <w:szCs w:val="30"/>
          <w:lang w:bidi="ar" w:eastAsia="zh-CN"/>
        </w:rPr>
        <w:t>.</w:t>
      </w:r>
      <w:r>
        <w:rPr>
          <w:rFonts w:ascii="宋体" w:cs="宋体" w:eastAsia="宋体" w:hAnsi="宋体" w:hint="eastAsia"/>
          <w:color w:val="454343"/>
          <w:sz w:val="30"/>
          <w:szCs w:val="30"/>
          <w:lang w:bidi="ar"/>
        </w:rPr>
        <w:t>清算假设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w:t>
      </w:r>
      <w:r>
        <w:rPr>
          <w:rFonts w:ascii="黑体" w:cs="黑体" w:eastAsia="黑体" w:hAnsi="黑体" w:hint="eastAsia"/>
          <w:sz w:val="32"/>
          <w:szCs w:val="32"/>
          <w:lang w:bidi="ar" w:eastAsia="zh-CN" w:val="en-US"/>
        </w:rPr>
        <w:t>二</w:t>
      </w:r>
      <w:r>
        <w:rPr>
          <w:rFonts w:ascii="黑体" w:cs="黑体" w:eastAsia="黑体" w:hAnsi="黑体" w:hint="eastAsia"/>
          <w:sz w:val="32"/>
          <w:szCs w:val="32"/>
          <w:lang w:bidi="ar"/>
        </w:rPr>
        <w:t>、</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1、鉴定机构人员对此鉴定标的没有潜在的利益关系。</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w:t>
      </w:r>
      <w:r>
        <w:rPr>
          <w:rFonts w:ascii="黑体" w:cs="黑体" w:eastAsia="黑体" w:hAnsi="黑体" w:hint="eastAsia"/>
          <w:sz w:val="32"/>
          <w:szCs w:val="32"/>
          <w:lang w:bidi="ar" w:eastAsia="zh-CN" w:val="en-US"/>
        </w:rPr>
        <w:t>三</w:t>
      </w:r>
      <w:r>
        <w:rPr>
          <w:rFonts w:ascii="黑体" w:cs="黑体" w:eastAsia="黑体" w:hAnsi="黑体" w:hint="eastAsia"/>
          <w:sz w:val="32"/>
          <w:szCs w:val="32"/>
          <w:lang w:bidi="ar"/>
        </w:rPr>
        <w:t>、</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123</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231</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2021年12月07日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十</w:t>
      </w:r>
      <w:r>
        <w:rPr>
          <w:rFonts w:ascii="黑体" w:cs="黑体" w:eastAsia="黑体" w:hAnsi="黑体" w:hint="eastAsia"/>
          <w:bCs/>
          <w:w w:val="90"/>
          <w:sz w:val="32"/>
          <w:szCs w:val="32"/>
          <w:lang w:eastAsia="zh-CN" w:val="en-US"/>
        </w:rPr>
        <w:t>四</w:t>
      </w:r>
      <w:r>
        <w:rPr>
          <w:rFonts w:ascii="黑体" w:cs="黑体" w:eastAsia="黑体" w:hAnsi="黑体" w:hint="eastAsia"/>
          <w:bCs/>
          <w:w w:val="90"/>
          <w:sz w:val="32"/>
          <w:szCs w:val="32"/>
        </w:rPr>
        <w:t xml:space="preserve">、鉴定评估人员及复核人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tabs>
          <w:tab w:pos="4830" w:val="left"/>
        </w:tabs>
        <w:kinsoku/>
        <w:wordWrap/>
        <w:overflowPunct/>
        <w:autoSpaceDE/>
        <w:autoSpaceDN/>
        <w:bidi w:val="0"/>
        <w:adjustRightInd/>
        <w:spacing w:afterAutospacing="0" w:line="360" w:lineRule="auto"/>
        <w:ind w:right="1344" w:rightChars="640"/>
        <w:jc w:val="center"/>
        <w:textAlignment w:val="auto"/>
        <w:rPr>
          <w:rFonts w:ascii="宋体" w:cs="宋体" w:eastAsia="宋体" w:hAnsi="宋体" w:hint="eastAsia"/>
          <w:sz w:val="30"/>
          <w:szCs w:val="30"/>
        </w:rPr>
      </w:pP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复核人：（签字）</w:t>
      </w:r>
    </w:p>
    <w:p>
      <w:pPr>
        <w:keepNext w:val="0"/>
        <w:keepLines w:val="0"/>
        <w:pageBreakBefore w:val="0"/>
        <w:tabs>
          <w:tab w:pos="4840" w:val="left"/>
        </w:tabs>
        <w:kinsoku/>
        <w:wordWrap/>
        <w:overflowPunct/>
        <w:autoSpaceDE/>
        <w:autoSpaceDN/>
        <w:bidi w:val="0"/>
        <w:adjustRightInd/>
        <w:spacing w:afterAutospacing="0" w:line="360" w:lineRule="auto"/>
        <w:ind w:firstLine="1059" w:firstLineChars="353" w:left="0" w:leftChars="0" w:right="1344" w:rightChars="640"/>
        <w:jc w:val="center"/>
        <w:textAlignment w:val="auto"/>
        <w:rPr>
          <w:rFonts w:ascii="宋体" w:cs="宋体" w:eastAsia="宋体" w:hAnsi="宋体"/>
          <w:sz w:val="30"/>
          <w:szCs w:val="30"/>
        </w:rPr>
      </w:pP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2021年04月21日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1312;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60288;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6432" simplePos="0">
              <wp:simplePos x="0" y="0"/>
              <wp:positionH relativeFrom="margin">
                <wp:align>right</wp:align>
              </wp:positionH>
              <wp:positionV relativeFrom="paragraph">
                <wp:posOffset>0</wp:posOffset>
              </wp:positionV>
              <wp:extent cx="1828800" cy="1828800"/>
              <wp:effectExtent b="0" l="0" r="0" t="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AKVIPQyAgAAYQQAAA4AAABkcnMvZTJvRG9jLnhtbK1UzY7TMBC+I/EO lu80aRGrbt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ApUg9DICAABhBAAADgAAAAAAAAABACAAAAAfAQAAZHJzL2Uyb0RvYy54bWxQSwUG AAAAAAYABgBZAQAAwwUAAAAA " o:spid="_x0000_s1026" o:spt="202" stroked="f" style="position:absolute;left:0pt;margin-top:0pt;height:144pt;width:144pt;mso-position-horizontal:right;mso-position-horizontal-relative:margin;mso-wrap-style:none;z-index:251666432;mso-width-relative:page;mso-height-relative:page;" type="#_x0000_t202">
              <v:fill focussize="0,0" on="f"/>
              <v:stroke on="f" weight="0.5pt"/>
              <v:imagedata o:title=""/>
              <o:lock aspectratio="f" v:ext="edit"/>
              <v:textbox inset="0mm,0mm,0mm,0mm" style="mso-fit-shape-to-text:t;">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v:shape>
          </w:pict>
        </mc:Fallback>
      </mc:AlternateContent>
    </w:r>
    <w:r>
      <mc:AlternateContent>
        <mc:Choice Requires="wps">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3360;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2336;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5408;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540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438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p14">
  <w:abstractNum w:abstractNumId="0">
    <w:nsid w:val="4F1966BD"/>
    <w:multiLevelType w:val="singleLevel"/>
    <w:tmpl w:val="4F1966BD"/>
    <w:lvl w:ilvl="0" w:tentative="0">
      <w:start w:val="5"/>
      <w:numFmt w:val="chineseCounting"/>
      <w:suff w:val="nothing"/>
      <w:lvlText w:val="%1、"/>
      <w:lvlJc w:val="left"/>
      <w:rPr>
        <w:rFonts w:hint="eastAsia"/>
      </w:rPr>
    </w:lvl>
  </w:abstractNum>
  <w:abstractNum w:abstractNumId="1">
    <w:nsid w:val="6F615A83"/>
    <w:multiLevelType w:val="singleLevel"/>
    <w:tmpl w:val="6F615A83"/>
    <w:lvl w:ilvl="0" w:tentative="0">
      <w:start w:val="3"/>
      <w:numFmt w:val="chineseCounting"/>
      <w:suff w:val="nothing"/>
      <w:lvlText w:val="（%1）"/>
      <w:lvlJc w:val="left"/>
      <w:rPr>
        <w:rFonts w:hint="eastAsia"/>
      </w:rPr>
    </w:lvl>
  </w:abstractNum>
  <w:abstractNum w:abstractNumId="2">
    <w:nsid w:val="7CBB3A67"/>
    <w:multiLevelType w:val="singleLevel"/>
    <w:tmpl w:val="7CBB3A67"/>
    <w:lvl w:ilvl="0" w:tentative="0">
      <w:start w:val="2"/>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psCustomData="http://www.wps.cn/officeDocument/2013/wpsCustomData" mc:Ignorable="w14">
  <w:zoom w:percent="13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3BFDEDF"/>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1C7951"/>
    <w:rsid w:val="15871EFC"/>
    <w:rsid w:val="175C0848"/>
    <w:rsid w:val="19F607D5"/>
    <w:rsid w:val="1A12070B"/>
    <w:rsid w:val="1A796387"/>
    <w:rsid w:val="1BB8B1C1"/>
    <w:rsid w:val="1BDA1518"/>
    <w:rsid w:val="1C8014E8"/>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445F66"/>
    <w:rsid w:val="297C1783"/>
    <w:rsid w:val="29B11A80"/>
    <w:rsid w:val="29D61F5F"/>
    <w:rsid w:val="2A662CBD"/>
    <w:rsid w:val="2B4501FE"/>
    <w:rsid w:val="2CFFFF9F"/>
    <w:rsid w:val="2D7BDFE8"/>
    <w:rsid w:val="2DE05FB0"/>
    <w:rsid w:val="2F8D3E83"/>
    <w:rsid w:val="2FA60F28"/>
    <w:rsid w:val="302F7E53"/>
    <w:rsid w:val="304D775F"/>
    <w:rsid w:val="31B113A5"/>
    <w:rsid w:val="31DF1D7B"/>
    <w:rsid w:val="31E23D3A"/>
    <w:rsid w:val="32006E59"/>
    <w:rsid w:val="328530B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0CA1731"/>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EE416E8"/>
    <w:rsid w:val="5EEDE003"/>
    <w:rsid w:val="5EFC5BEC"/>
    <w:rsid w:val="5FFB31D7"/>
    <w:rsid w:val="5FFE1ECC"/>
    <w:rsid w:val="607364F2"/>
    <w:rsid w:val="61A960A6"/>
    <w:rsid w:val="62956A6D"/>
    <w:rsid w:val="62BE1370"/>
    <w:rsid w:val="641706BD"/>
    <w:rsid w:val="64794DA8"/>
    <w:rsid w:val="65FEDCA1"/>
    <w:rsid w:val="6655E7CC"/>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75F544F"/>
    <w:rsid w:val="78500717"/>
    <w:rsid w:val="786DDFAB"/>
    <w:rsid w:val="789B64A6"/>
    <w:rsid w:val="7A004BD2"/>
    <w:rsid w:val="7A9828D6"/>
    <w:rsid w:val="7AFAE06E"/>
    <w:rsid w:val="7B107977"/>
    <w:rsid w:val="7B1FDC1D"/>
    <w:rsid w:val="7B643974"/>
    <w:rsid w:val="7BDEEEE9"/>
    <w:rsid w:val="7BF7479C"/>
    <w:rsid w:val="7D27E30D"/>
    <w:rsid w:val="7D5DA3A3"/>
    <w:rsid w:val="7DA27478"/>
    <w:rsid w:val="7DF73763"/>
    <w:rsid w:val="7DFFF49F"/>
    <w:rsid w:val="7E6E0195"/>
    <w:rsid w:val="7E8DB348"/>
    <w:rsid w:val="7EAEC574"/>
    <w:rsid w:val="7EC30935"/>
    <w:rsid w:val="7ED046C1"/>
    <w:rsid w:val="7F152D5A"/>
    <w:rsid w:val="7F6222A6"/>
    <w:rsid w:val="7F77464D"/>
    <w:rsid w:val="7FABEBD7"/>
    <w:rsid w:val="7FBB6D49"/>
    <w:rsid w:val="7FEDDC35"/>
    <w:rsid w:val="7FEF0389"/>
    <w:rsid w:val="7FFABD80"/>
    <w:rsid w:val="7FFE5549"/>
    <w:rsid w:val="92F78937"/>
    <w:rsid w:val="9E7FA1B9"/>
    <w:rsid w:val="9FF310FA"/>
    <w:rsid w:val="A7FFBF98"/>
    <w:rsid w:val="AABE86F2"/>
    <w:rsid w:val="ABAE5B81"/>
    <w:rsid w:val="AEFF87D0"/>
    <w:rsid w:val="AFBD5677"/>
    <w:rsid w:val="AFFFA797"/>
    <w:rsid w:val="B3CF78AD"/>
    <w:rsid w:val="B5EFCED3"/>
    <w:rsid w:val="B7179A1C"/>
    <w:rsid w:val="B7EFFB65"/>
    <w:rsid w:val="B7FFDE61"/>
    <w:rsid w:val="BAFD33C4"/>
    <w:rsid w:val="BBDF828F"/>
    <w:rsid w:val="BCCEF7D1"/>
    <w:rsid w:val="BFCED31B"/>
    <w:rsid w:val="BFCF73D5"/>
    <w:rsid w:val="CE7B8975"/>
    <w:rsid w:val="D27B39E3"/>
    <w:rsid w:val="D7D6878B"/>
    <w:rsid w:val="DB594507"/>
    <w:rsid w:val="DBFB2AC4"/>
    <w:rsid w:val="DBFFC520"/>
    <w:rsid w:val="DE1E65E4"/>
    <w:rsid w:val="DFB77171"/>
    <w:rsid w:val="DFF282C6"/>
    <w:rsid w:val="DFF34FDB"/>
    <w:rsid w:val="E65C2A5B"/>
    <w:rsid w:val="E7FA59E8"/>
    <w:rsid w:val="EB5C69A1"/>
    <w:rsid w:val="EBBDF128"/>
    <w:rsid w:val="EE9BD0D5"/>
    <w:rsid w:val="EECF15DF"/>
    <w:rsid w:val="EEEA94BC"/>
    <w:rsid w:val="EEEBA323"/>
    <w:rsid w:val="EF6A5C21"/>
    <w:rsid w:val="EFEA3EAD"/>
    <w:rsid w:val="EFF2CDD6"/>
    <w:rsid w:val="EFF78301"/>
    <w:rsid w:val="F37E5674"/>
    <w:rsid w:val="F37F5408"/>
    <w:rsid w:val="F3CEB332"/>
    <w:rsid w:val="F4B9C640"/>
    <w:rsid w:val="F65E376D"/>
    <w:rsid w:val="F713AAF8"/>
    <w:rsid w:val="F7D36B59"/>
    <w:rsid w:val="F7FDF6A8"/>
    <w:rsid w:val="F7FF6F08"/>
    <w:rsid w:val="F7FF6F28"/>
    <w:rsid w:val="F878A1BD"/>
    <w:rsid w:val="F9917FEA"/>
    <w:rsid w:val="F9D42264"/>
    <w:rsid w:val="F9E3C916"/>
    <w:rsid w:val="FAAB00CE"/>
    <w:rsid w:val="FB11F823"/>
    <w:rsid w:val="FBB2D513"/>
    <w:rsid w:val="FBEBDD7F"/>
    <w:rsid w:val="FBF7456C"/>
    <w:rsid w:val="FBFD67C8"/>
    <w:rsid w:val="FBFF7423"/>
    <w:rsid w:val="FDF755AC"/>
    <w:rsid w:val="FE1DE651"/>
    <w:rsid w:val="FEBD30F4"/>
    <w:rsid w:val="FF5C4956"/>
    <w:rsid w:val="FF5F0F37"/>
    <w:rsid w:val="FF8B8E79"/>
    <w:rsid w:val="FFC62AB4"/>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psCustomData="http://www.wps.cn/officeDocument/2013/wpsCustomData" mc:Ignorable="w14">
  <w:docDefaults>
    <w:rPrDefault>
      <w:rPr>
        <w:rFonts w:ascii="Times New Roman" w:cs="Times New Roman" w:eastAsia="宋体" w:hAnsi="Times New Roman"/>
      </w:rPr>
    </w:rPrDefault>
    <w:p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Office_11.1.0.10446_F1E327BC-269C-435d-A152-05C5408002CA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2020-11-01T20:54:00Z</dcterms:created>
  <dc:creator>li xingkai</dc:creator>
  <cp:lastModifiedBy>YC</cp:lastModifiedBy>
  <dcterms:modified xsi:type="dcterms:W3CDTF">2021-04-06T03:37:27Z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2052-11.1.0.10446</vt:lpwstr>
  </property>
  <property fmtid="{D5CDD505-2E9C-101B-9397-08002B2CF9AE}" name="ICV" pid="3">
    <vt:lpwstr>767C1BFF8B114EB58E917DD6D9933C87</vt:lpwstr>
  </property>
</Properties>
</file>