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q</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q</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Open Sans" w:cs="Open Sans" w:eastAsia="Open Sans" w:hAnsi="Open Sans"/>
          <w:b w:val="0"/>
          <w:i w:val="0"/>
          <w:caps w:val="0"/>
          <w:color w:val="333333"/>
          <w:spacing w:val="0"/>
          <w:kern w:val="0"/>
          <w:sz w:val="32"/>
          <w:szCs w:val="32"/>
          <w:u w:val="none"/>
          <w:shd w:fill="FFFFFF" w:val="clear"/>
          <w:lang w:bidi="ar" w:eastAsia="zh-CN"/>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bookmarkStart w:id="1" w:name="_GoBack"/>
      <w:bookmarkEnd w:id="1"/>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2021年02月22日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q</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q</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q</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q</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2021年03月04日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2021年03月04日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1、《二手车鉴定评估技术规范》。</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1、昱字鉴估字2020第0101号；</w:t>
      </w:r>
      <w:r>
        <w:rPr>
          <w:sz w:val="30"/>
        </w:rPr>
        <w:rPr>
          <w:rFonts w:eastAsia="宋体" w:ascii="宋体"/>
        </w:rPr>
        <w:br/>
        <w:t>2、鉴定申请书（复印件）。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1、确定相关损失情况及程度。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零元整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2021年06月29日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2021-02-22T11:12:48Z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