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昱字鉴估字2021第0001号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2"/>
          <w:szCs w:val="32"/>
          <w:u w:val="none"/>
          <w:shd w:fill="FFFFFF" w:val="clear"/>
          <w:lang w:bidi="ar" w:eastAsia="zh-CN" w:val="en-US"/>
        </w:rPr>
        <w:t>${carnumbers}${businessTypeName}</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w:t>
      </w:r>
      <w:r>
        <w:rPr>
          <w:rFonts w:ascii="Open Sans" w:cs="Open Sans" w:eastAsia="Open Sans" w:hAnsi="Open Sans"/>
          <w:b w:val="0"/>
          <w:i w:val="0"/>
          <w:caps w:val="0"/>
          <w:color w:val="333333"/>
          <w:spacing w:val="0"/>
          <w:kern w:val="0"/>
          <w:sz w:val="32"/>
          <w:szCs w:val="32"/>
          <w:u w:val="none"/>
          <w:shd w:fill="FFFFFF" w:val="clear"/>
          <w:lang w:bidi="ar" w:eastAsia="zh-CN"/>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w:t>
      </w:r>
      <w:bookmarkStart w:id="1" w:name="_GoBack"/>
      <w:bookmarkEnd w:id="1"/>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2021年02月09日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2021年02月28日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2021年02月28日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2021年02月28日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昱字鉴估字2021第0001号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2021年02月22日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2021年02月22日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1、《侵权法》。</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1、《资产评估执业准则——资产评估程序》（中评协〔2018〕36号）。</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1、昱字鉴估字2021第0001号；</w:t>
      </w:r>
      <w:r>
        <w:rPr>
          <w:sz w:val="30"/>
        </w:rPr>
        <w:rPr>
          <w:rFonts w:eastAsia="宋体" w:ascii="宋体"/>
        </w:rPr>
        <w:br/>
        <w:t>2、鉴定对象评估/鉴定报告。</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1、确定相关损失情况及程度。</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截止评估基准日鉴定评估对象推定全损金额为人民币：10元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1、鉴定机构人员对此鉴定标的没有潜在的利益关系。</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1313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2024年10月02日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2021年02月28日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2020-11-01T20:54:00Z</dcterms:created>
  <dc:creator>li xingkai</dc:creator>
  <cp:lastModifiedBy>liuyutao</cp:lastModifiedBy>
  <dcterms:modified xsi:type="dcterms:W3CDTF">2021-02-22T11:12:48Z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