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昱字鉴估字2021第0001号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111</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全损评估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15620612944</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yyc</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yy</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2021年02月09日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2021年02月28日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天津昱见科技发展有限公司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1</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2021年02月28日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1</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2021年02月28日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昱字鉴估字2021第0001号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2021年02月22日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2021年02月22日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1、《侵权法》。</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1、《资产评估执业准则——资产评估程序》（中评协〔2018〕36号）。</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1、昱字鉴估字2021第0001号；</w:t>
      </w:r>
      <w:r>
        <w:rPr>
          <w:sz w:val="30"/>
        </w:rPr>
        <w:rPr>
          <w:rFonts w:eastAsia="宋体" w:ascii="宋体"/>
        </w:rPr>
        <w:br/>
        <w:t>2、鉴定对象评估/鉴定报告。</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1、确定相关损失情况及程度。</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截止评估基准日鉴定评估对象推定全损金额为人民币：10元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1、鉴定机构人员对此鉴定标的没有潜在的利益关系。</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1313</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2024年10月02日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2021年02月28日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