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宋杰</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津NQS598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宋杰</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津恒实鉴估字2021第0002号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津NQS598威志牌CA7150BUE4小型轿车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全损评估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宋杰</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柳海巎</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2021年02月06日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2021年02月10日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宋杰</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宋杰</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津恒实鉴估字2021第0002号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宋杰</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97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津NQS598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LFP73ACCXC5B44389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宋杰</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15900207900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宋杰</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津NQS598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威志牌CA7150BUE4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LFP73ACCXC5B44389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MC314897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2012年10月08日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2012年10月08日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2、《机动车强制报废标准规定》；</w:t>
      </w:r>
      <w:r>
        <w:rPr>
          <w:sz w:val="30"/>
        </w:rPr>
        <w:rPr>
          <w:rFonts w:eastAsia="宋体" w:ascii="宋体"/>
        </w:rPr>
        <w:br/>
        <w:t>3、其他法律、法规、政策文件等。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1、津恒实鉴估字2021第0002号；</w:t>
      </w:r>
      <w:r>
        <w:rPr>
          <w:sz w:val="30"/>
        </w:rPr>
        <w:rPr>
          <w:rFonts w:eastAsia="宋体" w:ascii="宋体"/>
        </w:rPr>
        <w:br/>
        <w:t>2、鉴定委托书（原件）；</w:t>
      </w:r>
      <w:r>
        <w:rPr>
          <w:sz w:val="30"/>
        </w:rPr>
        <w:rPr>
          <w:rFonts w:eastAsia="宋体" w:ascii="宋体"/>
        </w:rPr>
        <w:br/>
        <w:t>3、相关身份证件（复印件）；</w:t>
      </w:r>
      <w:r>
        <w:rPr>
          <w:sz w:val="30"/>
        </w:rPr>
        <w:rPr>
          <w:rFonts w:eastAsia="宋体" w:ascii="宋体"/>
        </w:rPr>
        <w:br/>
        <w:t>4、相关执业证件（复印件）；</w:t>
      </w:r>
      <w:r>
        <w:rPr>
          <w:sz w:val="30"/>
        </w:rPr>
        <w:rPr>
          <w:rFonts w:eastAsia="宋体" w:ascii="宋体"/>
        </w:rPr>
        <w:br/>
        <w:t>5、相关车辆证件（复印件）。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1、确定相关损失情况及程度；</w:t>
      </w:r>
      <w:r>
        <w:rPr>
          <w:sz w:val="30"/>
        </w:rPr>
        <w:rPr>
          <w:rFonts w:eastAsia="宋体" w:ascii="宋体"/>
        </w:rPr>
        <w:br/>
        <w:t>2、市场调研相关价格；</w:t>
      </w:r>
      <w:r>
        <w:rPr>
          <w:sz w:val="30"/>
        </w:rPr>
        <w:rPr>
          <w:rFonts w:eastAsia="宋体" w:ascii="宋体"/>
        </w:rPr>
        <w:br/>
        <w:t>3、市场调研相关工时费；</w:t>
      </w:r>
      <w:r>
        <w:rPr>
          <w:sz w:val="30"/>
        </w:rPr>
        <w:rPr>
          <w:rFonts w:eastAsia="宋体" w:ascii="宋体"/>
        </w:rPr>
        <w:br/>
        <w:t>4、现场查勘评估对象；</w:t>
      </w:r>
      <w:r>
        <w:rPr>
          <w:sz w:val="30"/>
        </w:rPr>
        <w:rPr>
          <w:rFonts w:eastAsia="宋体" w:ascii="宋体"/>
        </w:rPr>
        <w:br/>
        <w:t>5、相关证据拍照存档。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评估对象被其他车辆碰撞后，前部又与金属隔离护栏碰撞，造成后部和前部损坏。我司工作人员已到津南区轩宇汽车修理厂查勘车辆并拍照取证，车辆前部、后部变形严重，左侧损坏严重，修复工艺复杂，维修费用已超出车辆自身现价值及物修复价值且修复后车辆性能有衰减。。</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截止评估基准日鉴定评估对象推定全损金额为人民币：19050元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壹万玖仟零伍拾元整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4、由于维修金额已超出车辆自身价值及修复后不能达到性能完好，已无修复价值故推定全损评估。。</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2022年02月09日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2021年02月10日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