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8"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2"/>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225.0pt;height:225.0pt;" stroked="false">
                <v:path textboxrect="0,0,0,0"/>
                <v:imagedata r:id="rId12"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宋杰</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津NQS598</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宋杰</w:t>
      </w:r>
      <w:r/>
    </w:p>
    <w:p>
      <w:pPr>
        <w:pStyle w:val="599"/>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251658240" behindDoc="1" locked="0" layoutInCell="1" allowOverlap="1">
                <wp:simplePos x="0" y="0"/>
                <wp:positionH relativeFrom="margin">
                  <wp:posOffset>-1906269</wp:posOffset>
                </wp:positionH>
                <wp:positionV relativeFrom="margin">
                  <wp:posOffset>-1914524</wp:posOffset>
                </wp:positionV>
                <wp:extent cx="1960880" cy="646430"/>
                <wp:effectExtent l="0" t="0" r="0" b="0"/>
                <wp:wrapNone/>
                <wp:docPr id="9"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8" o:spid="_x0000_s8" o:spt="1" style="position:absolute;mso-wrap-distance-left:9.0pt;mso-wrap-distance-top:0.0pt;mso-wrap-distance-right:9.0pt;mso-wrap-distance-bottom:0.0pt;z-index:-251658240;o:allowoverlap:true;o:allowincell:true;mso-position-horizontal-relative:margin;margin-left:-150.1pt;mso-position-horizontal:absolute;mso-position-vertical-relative:margin;margin-top:-150.7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价格鉴定评估报告</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津恒实鉴估字2021第0002号</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津NQS598威志牌CA7150BUE4小型轿车</w:t>
      </w:r>
      <w:bookmarkStart w:id="1" w:name="_GoBack"/>
      <w:r/>
      <w:bookmarkEnd w:id="1"/>
      <w:r>
        <w:rPr>
          <w:rFonts w:ascii="宋体" w:eastAsia="宋体"/>
          <w:b w:val="false"/>
          <w:i w:val="false"/>
          <w:caps w:val="false"/>
          <w:color w:val="333333"/>
          <w:spacing w:val="0"/>
          <w:sz w:val="30"/>
          <w:szCs w:val="32"/>
          <w:u w:val="none"/>
          <w:shd w:val="nil" w:color="auto" w:fill="auto"/>
          <w:lang w:val="en-US" w:bidi="ar" w:eastAsia="zh-CN"/>
        </w:rPr>
        <w:t xml:space="preserve">全损评估</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宋杰</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color="auto" w:fill="auto"/>
          <w:lang w:val="en-US" w:bidi="ar" w:eastAsia="zh-CN"/>
        </w:rPr>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柳海巎</w:t>
      </w:r>
      <w:r>
        <w:rPr>
          <w:rFonts w:ascii="宋体" w:hAnsi="宋体" w:cs="宋体" w:eastAsia="宋体" w:hint="eastAsia"/>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李兴凯</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2021年02月06日</w:t>
      </w:r>
      <w:r>
        <w:rPr>
          <w:rFonts w:ascii="宋体" w:hAnsi="宋体" w:cs="宋体" w:eastAsia="宋体" w:hint="eastAsia"/>
          <w:sz w:val="28"/>
          <w:szCs w:val="28"/>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2021年02月10日</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eastAsia="宋体"/>
          <w:sz w:val="30"/>
          <w:szCs w:val="28"/>
          <w:shd w:val="nil" w:color="auto" w:fill="auto"/>
        </w:rPr>
        <w:t xml:space="preserve">天津恒实价格评估有限公司</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99"/>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99"/>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宋杰</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2021年02月10日</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宋杰</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6"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2021年02月10日</w:t>
      </w:r>
      <w:r/>
    </w:p>
    <w:p>
      <w:pPr>
        <w:ind w:right="2386"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599"/>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599"/>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津恒实鉴估字2021第0002号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宋杰</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97</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津NQS598</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LFP73ACCXC5B44389</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0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宋杰</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15900207900</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宋杰</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津NQS598</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小型轿车</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威志牌CA7150BUE4</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LFP73ACCXC5B44389</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MC314897</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2012年10月08日</w:t>
            </w:r>
            <w:r/>
          </w:p>
        </w:tc>
      </w:tr>
    </w:tbl>
    <w:p>
      <w:pPr>
        <w:rPr>
          <w:rFonts w:ascii="黑体" w:hAnsi="黑体" w:cs="黑体" w:eastAsia="黑体"/>
          <w:sz w:val="32"/>
          <w:szCs w:val="32"/>
        </w:rPr>
      </w:pPr>
      <w:r>
        <w:rPr>
          <w:rFonts w:ascii="黑体" w:hAnsi="黑体" w:cs="黑体" w:eastAsia="黑体"/>
          <w:sz w:val="32"/>
          <w:szCs w:val="32"/>
        </w:rPr>
        <w:br w:type="page"/>
      </w:r>
      <w:r/>
    </w:p>
    <w:p>
      <w:pPr>
        <w:pStyle w:val="599"/>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为评估对象的损失提供参考依据（损毁前）</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2012年10月08日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1、津恒实鉴估字2021第0002号；</w:t>
      </w:r>
      <w:r>
        <w:rPr>
          <w:rFonts w:ascii="宋体" w:eastAsia="宋体"/>
          <w:sz w:val="30"/>
        </w:rPr>
        <w:br/>
        <w:t xml:space="preserve">2、鉴定委托书（原件）；</w:t>
      </w:r>
      <w:r>
        <w:rPr>
          <w:rFonts w:ascii="宋体" w:eastAsia="宋体"/>
          <w:sz w:val="30"/>
        </w:rPr>
        <w:br/>
        <w:t xml:space="preserve">3、相关身份证件（复印件）；</w:t>
      </w:r>
      <w:r>
        <w:rPr>
          <w:rFonts w:ascii="宋体" w:eastAsia="宋体"/>
          <w:sz w:val="30"/>
        </w:rPr>
        <w:br/>
        <w:t xml:space="preserve">4、相关执业证件（复印件）；</w:t>
      </w:r>
      <w:r>
        <w:rPr>
          <w:rFonts w:ascii="宋体" w:eastAsia="宋体"/>
          <w:sz w:val="30"/>
        </w:rPr>
        <w:br/>
        <w:t xml:space="preserve">5、相关车辆证件（复印件）。</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1、确定相关损失情况及程度；</w:t>
      </w:r>
      <w:r>
        <w:rPr>
          <w:rFonts w:ascii="宋体" w:eastAsia="宋体"/>
          <w:sz w:val="30"/>
        </w:rPr>
        <w:br/>
        <w:t xml:space="preserve">2、市场调研相关价格；</w:t>
      </w:r>
      <w:r>
        <w:rPr>
          <w:rFonts w:ascii="宋体" w:eastAsia="宋体"/>
          <w:sz w:val="30"/>
        </w:rPr>
        <w:br/>
        <w:t xml:space="preserve">3、市场调研相关工时费；</w:t>
      </w:r>
      <w:r>
        <w:rPr>
          <w:rFonts w:ascii="宋体" w:eastAsia="宋体"/>
          <w:sz w:val="30"/>
        </w:rPr>
        <w:br/>
        <w:t xml:space="preserve">4、现场查勘评估对象；</w:t>
      </w:r>
      <w:r>
        <w:rPr>
          <w:rFonts w:ascii="宋体" w:eastAsia="宋体"/>
          <w:sz w:val="30"/>
        </w:rPr>
        <w:br/>
        <w:t xml:space="preserve">5、相关证据拍照存档。</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宋体" w:hAnsi="宋体" w:cs="宋体" w:eastAsia="宋体" w:hint="default"/>
          <w:sz w:val="30"/>
          <w:szCs w:val="30"/>
        </w:rPr>
        <w:t xml:space="preserve">：</w:t>
      </w:r>
      <w:r>
        <w:rPr>
          <w:rFonts w:ascii="宋体" w:eastAsia="宋体"/>
          <w:b w:val="false"/>
          <w:i w:val="false"/>
          <w:caps w:val="false"/>
          <w:color w:val="333333"/>
          <w:spacing w:val="0"/>
          <w:sz w:val="30"/>
          <w:szCs w:val="32"/>
          <w:u w:val="single"/>
          <w:shd w:val="nil" w:color="auto" w:fill="auto"/>
          <w:lang w:val="en-US" w:bidi="ar" w:eastAsia="zh-CN"/>
        </w:rPr>
      </w:r>
      <w:r/>
    </w:p>
    <w:p>
      <w:pPr>
        <w:pStyle w:val="599"/>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评估对象被其他车辆碰撞后，前部又与金属隔离护栏碰撞，造成后部和前部损坏。我司工作人员已到津南区轩宇汽车修理厂查勘车辆并拍照取证，车辆前部、后部变形严重，左侧损坏严重，修复工艺复杂，维修费用已超出车辆自身现价值及物修复价值且修复后车辆性能有衰减。。</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eastAsia="宋体"/>
          <w:b w:val="false"/>
          <w:i w:val="false"/>
          <w:caps w:val="false"/>
          <w:color w:val="FF0000"/>
          <w:spacing w:val="0"/>
          <w:sz w:val="30"/>
          <w:szCs w:val="32"/>
          <w:u w:val="none"/>
          <w:shd w:val="nil" w:color="auto" w:fill="auto"/>
          <w:lang w:val="en-US" w:bidi="ar" w:eastAsia="zh-CN"/>
        </w:rPr>
        <w:t xml:space="preserve">截止评估基准日鉴定评估对象推定全损金额为人民币：19050元</w:t>
      </w:r>
      <w:r>
        <w:rPr>
          <w:rFonts w:ascii="宋体" w:hAnsi="宋体" w:cs="宋体" w:eastAsia="宋体" w:hint="eastAsia"/>
          <w:b/>
          <w:bCs/>
          <w:color w:val="FF0000"/>
          <w:sz w:val="30"/>
          <w:szCs w:val="30"/>
        </w:rPr>
        <w:t xml:space="preserve">（大写人民币：</w:t>
      </w:r>
      <w:r>
        <w:rPr>
          <w:rFonts w:ascii="宋体" w:eastAsia="宋体"/>
          <w:b w:val="false"/>
          <w:i w:val="false"/>
          <w:caps w:val="false"/>
          <w:color w:val="FF0000"/>
          <w:spacing w:val="0"/>
          <w:sz w:val="30"/>
          <w:szCs w:val="30"/>
          <w:u w:val="none"/>
          <w:shd w:val="nil" w:color="auto" w:fill="auto"/>
          <w:lang w:val="en-US" w:bidi="ar" w:eastAsia="zh-CN"/>
        </w:rPr>
        <w:t xml:space="preserve">壹万玖仟零伍拾元整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4、由于维修金额已超出车辆自身价值及修复后不能达到性能完好，已无修复价值故推定全损评估。。</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2</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2022年02月09日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鉴定评估人员：(签字)</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10"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3"/>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75.0pt;height:75.0pt;" stroked="false">
                <v:path textboxrect="0,0,0,0"/>
                <v:imagedata r:id="rId13"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2021年02月10日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7456;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745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643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4"/>
    <w:next w:val="59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95"/>
    <w:link w:val="11"/>
    <w:uiPriority w:val="9"/>
    <w:rPr>
      <w:rFonts w:ascii="Arial" w:hAnsi="Arial" w:cs="Arial" w:eastAsia="Arial"/>
      <w:sz w:val="40"/>
      <w:szCs w:val="40"/>
    </w:rPr>
  </w:style>
  <w:style w:type="paragraph" w:styleId="13">
    <w:name w:val="Heading 2"/>
    <w:basedOn w:val="594"/>
    <w:next w:val="59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95"/>
    <w:link w:val="13"/>
    <w:uiPriority w:val="9"/>
    <w:rPr>
      <w:rFonts w:ascii="Arial" w:hAnsi="Arial" w:cs="Arial" w:eastAsia="Arial"/>
      <w:sz w:val="34"/>
    </w:rPr>
  </w:style>
  <w:style w:type="paragraph" w:styleId="15">
    <w:name w:val="Heading 3"/>
    <w:basedOn w:val="594"/>
    <w:next w:val="59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95"/>
    <w:link w:val="15"/>
    <w:uiPriority w:val="9"/>
    <w:rPr>
      <w:rFonts w:ascii="Arial" w:hAnsi="Arial" w:cs="Arial" w:eastAsia="Arial"/>
      <w:sz w:val="30"/>
      <w:szCs w:val="30"/>
    </w:rPr>
  </w:style>
  <w:style w:type="paragraph" w:styleId="17">
    <w:name w:val="Heading 4"/>
    <w:basedOn w:val="594"/>
    <w:next w:val="59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95"/>
    <w:link w:val="17"/>
    <w:uiPriority w:val="9"/>
    <w:rPr>
      <w:rFonts w:ascii="Arial" w:hAnsi="Arial" w:cs="Arial" w:eastAsia="Arial"/>
      <w:b/>
      <w:bCs/>
      <w:sz w:val="26"/>
      <w:szCs w:val="26"/>
    </w:rPr>
  </w:style>
  <w:style w:type="paragraph" w:styleId="19">
    <w:name w:val="Heading 5"/>
    <w:basedOn w:val="594"/>
    <w:next w:val="59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95"/>
    <w:link w:val="19"/>
    <w:uiPriority w:val="9"/>
    <w:rPr>
      <w:rFonts w:ascii="Arial" w:hAnsi="Arial" w:cs="Arial" w:eastAsia="Arial"/>
      <w:b/>
      <w:bCs/>
      <w:sz w:val="24"/>
      <w:szCs w:val="24"/>
    </w:rPr>
  </w:style>
  <w:style w:type="paragraph" w:styleId="21">
    <w:name w:val="Heading 6"/>
    <w:basedOn w:val="594"/>
    <w:next w:val="59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95"/>
    <w:link w:val="21"/>
    <w:uiPriority w:val="9"/>
    <w:rPr>
      <w:rFonts w:ascii="Arial" w:hAnsi="Arial" w:cs="Arial" w:eastAsia="Arial"/>
      <w:b/>
      <w:bCs/>
      <w:sz w:val="22"/>
      <w:szCs w:val="22"/>
    </w:rPr>
  </w:style>
  <w:style w:type="paragraph" w:styleId="23">
    <w:name w:val="Heading 7"/>
    <w:basedOn w:val="594"/>
    <w:next w:val="59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95"/>
    <w:link w:val="23"/>
    <w:uiPriority w:val="9"/>
    <w:rPr>
      <w:rFonts w:ascii="Arial" w:hAnsi="Arial" w:cs="Arial" w:eastAsia="Arial"/>
      <w:b/>
      <w:bCs/>
      <w:i/>
      <w:iCs/>
      <w:sz w:val="22"/>
      <w:szCs w:val="22"/>
    </w:rPr>
  </w:style>
  <w:style w:type="paragraph" w:styleId="25">
    <w:name w:val="Heading 8"/>
    <w:basedOn w:val="594"/>
    <w:next w:val="59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95"/>
    <w:link w:val="25"/>
    <w:uiPriority w:val="9"/>
    <w:rPr>
      <w:rFonts w:ascii="Arial" w:hAnsi="Arial" w:cs="Arial" w:eastAsia="Arial"/>
      <w:i/>
      <w:iCs/>
      <w:sz w:val="22"/>
      <w:szCs w:val="22"/>
    </w:rPr>
  </w:style>
  <w:style w:type="paragraph" w:styleId="27">
    <w:name w:val="Heading 9"/>
    <w:basedOn w:val="594"/>
    <w:next w:val="59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95"/>
    <w:link w:val="27"/>
    <w:uiPriority w:val="9"/>
    <w:rPr>
      <w:rFonts w:ascii="Arial" w:hAnsi="Arial" w:cs="Arial" w:eastAsia="Arial"/>
      <w:i/>
      <w:iCs/>
      <w:sz w:val="21"/>
      <w:szCs w:val="21"/>
    </w:rPr>
  </w:style>
  <w:style w:type="paragraph" w:styleId="29">
    <w:name w:val="List Paragraph"/>
    <w:basedOn w:val="594"/>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4"/>
    <w:next w:val="594"/>
    <w:link w:val="33"/>
    <w:qFormat/>
    <w:uiPriority w:val="10"/>
    <w:rPr>
      <w:sz w:val="48"/>
      <w:szCs w:val="48"/>
    </w:rPr>
    <w:pPr>
      <w:contextualSpacing w:val="true"/>
      <w:spacing w:after="200" w:before="300"/>
    </w:pPr>
  </w:style>
  <w:style w:type="character" w:styleId="33">
    <w:name w:val="Title Char"/>
    <w:basedOn w:val="595"/>
    <w:link w:val="32"/>
    <w:uiPriority w:val="10"/>
    <w:rPr>
      <w:sz w:val="48"/>
      <w:szCs w:val="48"/>
    </w:rPr>
  </w:style>
  <w:style w:type="paragraph" w:styleId="34">
    <w:name w:val="Subtitle"/>
    <w:basedOn w:val="594"/>
    <w:next w:val="594"/>
    <w:link w:val="35"/>
    <w:qFormat/>
    <w:uiPriority w:val="11"/>
    <w:rPr>
      <w:sz w:val="24"/>
      <w:szCs w:val="24"/>
    </w:rPr>
    <w:pPr>
      <w:spacing w:after="200" w:before="200"/>
    </w:pPr>
  </w:style>
  <w:style w:type="character" w:styleId="35">
    <w:name w:val="Subtitle Char"/>
    <w:basedOn w:val="595"/>
    <w:link w:val="34"/>
    <w:uiPriority w:val="11"/>
    <w:rPr>
      <w:sz w:val="24"/>
      <w:szCs w:val="24"/>
    </w:rPr>
  </w:style>
  <w:style w:type="paragraph" w:styleId="36">
    <w:name w:val="Quote"/>
    <w:basedOn w:val="594"/>
    <w:next w:val="594"/>
    <w:link w:val="37"/>
    <w:qFormat/>
    <w:uiPriority w:val="29"/>
    <w:rPr>
      <w:i/>
    </w:rPr>
    <w:pPr>
      <w:ind w:left="720" w:right="720"/>
    </w:pPr>
  </w:style>
  <w:style w:type="character" w:styleId="37">
    <w:name w:val="Quote Char"/>
    <w:link w:val="36"/>
    <w:uiPriority w:val="29"/>
    <w:rPr>
      <w:i/>
    </w:rPr>
  </w:style>
  <w:style w:type="paragraph" w:styleId="38">
    <w:name w:val="Intense Quote"/>
    <w:basedOn w:val="594"/>
    <w:next w:val="594"/>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95"/>
    <w:link w:val="598"/>
    <w:uiPriority w:val="99"/>
  </w:style>
  <w:style w:type="character" w:styleId="43">
    <w:name w:val="Footer Char"/>
    <w:basedOn w:val="595"/>
    <w:link w:val="597"/>
    <w:uiPriority w:val="99"/>
  </w:style>
  <w:style w:type="paragraph" w:styleId="44">
    <w:name w:val="Caption"/>
    <w:basedOn w:val="594"/>
    <w:next w:val="594"/>
    <w:qFormat/>
    <w:uiPriority w:val="35"/>
    <w:semiHidden/>
    <w:unhideWhenUsed/>
    <w:rPr>
      <w:b/>
      <w:bCs/>
      <w:color w:val="4F81BD" w:themeColor="accent1"/>
      <w:sz w:val="18"/>
      <w:szCs w:val="18"/>
    </w:rPr>
    <w:pPr>
      <w:spacing w:lineRule="auto" w:line="276"/>
    </w:pPr>
  </w:style>
  <w:style w:type="character" w:styleId="45">
    <w:name w:val="Caption Char"/>
    <w:basedOn w:val="44"/>
    <w:link w:val="597"/>
    <w:uiPriority w:val="99"/>
  </w:style>
  <w:style w:type="table" w:styleId="47">
    <w:name w:val="Table Grid Light"/>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9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9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9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9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9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9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9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9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9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9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9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9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9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9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9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9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9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9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9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9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9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9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9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9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9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9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9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9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9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9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9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9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9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9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9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9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9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9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9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9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9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9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9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9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9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9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9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9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9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9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9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94"/>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95"/>
    <w:uiPriority w:val="99"/>
    <w:unhideWhenUsed/>
    <w:rPr>
      <w:vertAlign w:val="superscript"/>
    </w:rPr>
  </w:style>
  <w:style w:type="paragraph" w:styleId="176">
    <w:name w:val="endnote text"/>
    <w:basedOn w:val="594"/>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95"/>
    <w:uiPriority w:val="99"/>
    <w:semiHidden/>
    <w:unhideWhenUsed/>
    <w:rPr>
      <w:vertAlign w:val="superscript"/>
    </w:rPr>
  </w:style>
  <w:style w:type="paragraph" w:styleId="179">
    <w:name w:val="toc 1"/>
    <w:basedOn w:val="594"/>
    <w:next w:val="594"/>
    <w:uiPriority w:val="39"/>
    <w:unhideWhenUsed/>
    <w:pPr>
      <w:ind w:left="0" w:right="0" w:firstLine="0"/>
      <w:spacing w:after="57"/>
    </w:pPr>
  </w:style>
  <w:style w:type="paragraph" w:styleId="180">
    <w:name w:val="toc 2"/>
    <w:basedOn w:val="594"/>
    <w:next w:val="594"/>
    <w:uiPriority w:val="39"/>
    <w:unhideWhenUsed/>
    <w:pPr>
      <w:ind w:left="283" w:right="0" w:firstLine="0"/>
      <w:spacing w:after="57"/>
    </w:pPr>
  </w:style>
  <w:style w:type="paragraph" w:styleId="181">
    <w:name w:val="toc 3"/>
    <w:basedOn w:val="594"/>
    <w:next w:val="594"/>
    <w:uiPriority w:val="39"/>
    <w:unhideWhenUsed/>
    <w:pPr>
      <w:ind w:left="567" w:right="0" w:firstLine="0"/>
      <w:spacing w:after="57"/>
    </w:pPr>
  </w:style>
  <w:style w:type="paragraph" w:styleId="182">
    <w:name w:val="toc 4"/>
    <w:basedOn w:val="594"/>
    <w:next w:val="594"/>
    <w:uiPriority w:val="39"/>
    <w:unhideWhenUsed/>
    <w:pPr>
      <w:ind w:left="850" w:right="0" w:firstLine="0"/>
      <w:spacing w:after="57"/>
    </w:pPr>
  </w:style>
  <w:style w:type="paragraph" w:styleId="183">
    <w:name w:val="toc 5"/>
    <w:basedOn w:val="594"/>
    <w:next w:val="594"/>
    <w:uiPriority w:val="39"/>
    <w:unhideWhenUsed/>
    <w:pPr>
      <w:ind w:left="1134" w:right="0" w:firstLine="0"/>
      <w:spacing w:after="57"/>
    </w:pPr>
  </w:style>
  <w:style w:type="paragraph" w:styleId="184">
    <w:name w:val="toc 6"/>
    <w:basedOn w:val="594"/>
    <w:next w:val="594"/>
    <w:uiPriority w:val="39"/>
    <w:unhideWhenUsed/>
    <w:pPr>
      <w:ind w:left="1417" w:right="0" w:firstLine="0"/>
      <w:spacing w:after="57"/>
    </w:pPr>
  </w:style>
  <w:style w:type="paragraph" w:styleId="185">
    <w:name w:val="toc 7"/>
    <w:basedOn w:val="594"/>
    <w:next w:val="594"/>
    <w:uiPriority w:val="39"/>
    <w:unhideWhenUsed/>
    <w:pPr>
      <w:ind w:left="1701" w:right="0" w:firstLine="0"/>
      <w:spacing w:after="57"/>
    </w:pPr>
  </w:style>
  <w:style w:type="paragraph" w:styleId="186">
    <w:name w:val="toc 8"/>
    <w:basedOn w:val="594"/>
    <w:next w:val="594"/>
    <w:uiPriority w:val="39"/>
    <w:unhideWhenUsed/>
    <w:pPr>
      <w:ind w:left="1984" w:right="0" w:firstLine="0"/>
      <w:spacing w:after="57"/>
    </w:pPr>
  </w:style>
  <w:style w:type="paragraph" w:styleId="187">
    <w:name w:val="toc 9"/>
    <w:basedOn w:val="594"/>
    <w:next w:val="594"/>
    <w:uiPriority w:val="39"/>
    <w:unhideWhenUsed/>
    <w:pPr>
      <w:ind w:left="2268" w:right="0" w:firstLine="0"/>
      <w:spacing w:after="57"/>
    </w:pPr>
  </w:style>
  <w:style w:type="paragraph" w:styleId="188">
    <w:name w:val="TOC Heading"/>
    <w:uiPriority w:val="39"/>
    <w:unhideWhenUsed/>
  </w:style>
  <w:style w:type="paragraph" w:styleId="59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95" w:default="1">
    <w:name w:val="Default Paragraph Font"/>
    <w:qFormat/>
    <w:uiPriority w:val="1"/>
    <w:unhideWhenUsed/>
  </w:style>
  <w:style w:type="table" w:styleId="596" w:default="1">
    <w:name w:val="Normal Table"/>
    <w:qFormat/>
    <w:uiPriority w:val="99"/>
    <w:unhideWhenUsed/>
    <w:tblPr>
      <w:tblCellMar>
        <w:left w:w="108" w:type="dxa"/>
        <w:top w:w="0" w:type="dxa"/>
        <w:right w:w="108" w:type="dxa"/>
        <w:bottom w:w="0" w:type="dxa"/>
      </w:tblCellMar>
    </w:tblPr>
  </w:style>
  <w:style w:type="paragraph" w:styleId="597">
    <w:name w:val="Footer"/>
    <w:basedOn w:val="594"/>
    <w:link w:val="601"/>
    <w:qFormat/>
    <w:uiPriority w:val="99"/>
    <w:rPr>
      <w:rFonts w:ascii="等线" w:hAnsi="等线" w:cs="等线" w:eastAsia="等线"/>
      <w:sz w:val="18"/>
      <w:szCs w:val="18"/>
    </w:rPr>
    <w:pPr>
      <w:jc w:val="left"/>
      <w:tabs>
        <w:tab w:val="center" w:pos="4153" w:leader="none"/>
        <w:tab w:val="right" w:pos="8306" w:leader="none"/>
      </w:tabs>
    </w:pPr>
  </w:style>
  <w:style w:type="paragraph" w:styleId="598">
    <w:name w:val="Header"/>
    <w:basedOn w:val="5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599">
    <w:name w:val="Normal (Web)"/>
    <w:basedOn w:val="594"/>
    <w:qFormat/>
    <w:uiPriority w:val="0"/>
    <w:rPr>
      <w:sz w:val="24"/>
    </w:rPr>
    <w:pPr>
      <w:jc w:val="left"/>
      <w:spacing w:after="100" w:afterAutospacing="1" w:before="100" w:beforeAutospacing="1"/>
    </w:pPr>
  </w:style>
  <w:style w:type="table" w:styleId="600">
    <w:name w:val="Table Grid"/>
    <w:basedOn w:val="5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1" w:customStyle="1">
    <w:name w:val="页脚 字符"/>
    <w:link w:val="597"/>
    <w:qFormat/>
    <w:uiPriority w:val="99"/>
    <w:rPr>
      <w:sz w:val="18"/>
      <w:szCs w:val="18"/>
    </w:rPr>
  </w:style>
  <w:style w:type="character" w:styleId="602" w:customStyle="1">
    <w:name w:val="页脚 字符1"/>
    <w:basedOn w:val="595"/>
    <w:qFormat/>
    <w:uiPriority w:val="99"/>
    <w:semiHidden/>
    <w:rPr>
      <w:rFonts w:ascii="Calibri" w:hAnsi="Calibri" w:cs="Times New Roman" w:eastAsia="微软雅黑"/>
      <w:sz w:val="18"/>
      <w:szCs w:val="18"/>
    </w:rPr>
  </w:style>
  <w:style w:type="numbering" w:styleId="157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image" Target="media/image1.png"/><Relationship Id="rId13"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柳海巎</cp:lastModifiedBy>
  <cp:revision>3</cp:revision>
  <dcterms:created xsi:type="dcterms:W3CDTF">2020-11-01T12:54:00Z</dcterms:created>
  <dcterms:modified xsi:type="dcterms:W3CDTF">2021-02-09T08:36:37Z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