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付会鹏</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豫AH227Y</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刘辉</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left="0" w:leftChars="0"/>
        <w:jc w:val="both"/>
        <w:textAlignment w:val="auto"/>
        <w:rPr>
          <w:rFonts w:ascii="宋体" w:cs="宋体" w:eastAsia="宋体" w:hAnsi="宋体" w:hint="eastAsia"/>
          <w:sz w:val="28"/>
          <w:szCs w:val="28"/>
        </w:r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付会鹏</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2018年04月02日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付会鹏</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2018年04月02日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昱字鉴估字2018第0019号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付会鹏</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64</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豫AH227Y</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LE4GF4KB6DL207025</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付会鹏</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18161308888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刘辉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豫AH227Y</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梅赛德斯奔驰BJ7181V</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LE4GF4KB6DL207025</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80206823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2012年11月19日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2012年11月19日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2、《机动车强制报废标准规定》；</w:t>
      </w:r>
      <w:r>
        <w:rPr>
          <w:sz w:val="30"/>
        </w:rPr>
        <w:rPr>
          <w:rFonts w:eastAsia="宋体" w:ascii="宋体"/>
        </w:rPr>
        <w:br/>
        <w:t>3、其他法律、法规、政策文件等。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1、付会鹏委托书（20180019）；</w:t>
      </w:r>
      <w:r>
        <w:rPr>
          <w:sz w:val="30"/>
        </w:rPr>
        <w:rPr>
          <w:rFonts w:eastAsia="宋体" w:ascii="宋体"/>
        </w:rPr>
        <w:br/>
        <w:t>2、昱字鉴估字2018第0019号；</w:t>
      </w:r>
      <w:r>
        <w:rPr>
          <w:sz w:val="30"/>
        </w:rPr>
        <w:rPr>
          <w:rFonts w:eastAsia="宋体" w:ascii="宋体"/>
        </w:rPr>
        <w:br/>
        <w:t>3、鉴定申请书（复印件）；</w:t>
      </w:r>
      <w:r>
        <w:rPr>
          <w:sz w:val="30"/>
        </w:rPr>
        <w:rPr>
          <w:rFonts w:eastAsia="宋体" w:ascii="宋体"/>
        </w:rPr>
        <w:br/>
        <w:t>4、相关身份证件（复印件）；</w:t>
      </w:r>
      <w:r>
        <w:rPr>
          <w:sz w:val="30"/>
        </w:rPr>
        <w:rPr>
          <w:rFonts w:eastAsia="宋体" w:ascii="宋体"/>
        </w:rPr>
        <w:br/>
        <w:t>5、相关车辆证件（复印件）。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r>
        <w:rPr>
          <w:sz w:val="30"/>
        </w:rPr>
        <w:rPr>
          <w:rFonts w:eastAsia="宋体" w:ascii="宋体"/>
        </w:rPr>
        <w:br/>
        <w:t>2、确定相关维修部位；</w:t>
      </w:r>
      <w:r>
        <w:rPr>
          <w:sz w:val="30"/>
        </w:rPr>
        <w:rPr>
          <w:rFonts w:eastAsia="宋体" w:ascii="宋体"/>
        </w:rPr>
        <w:br/>
        <w:t>3、市场调研相关价格；</w:t>
      </w:r>
      <w:r>
        <w:rPr>
          <w:sz w:val="30"/>
        </w:rPr>
        <w:rPr>
          <w:rFonts w:eastAsia="宋体" w:ascii="宋体"/>
        </w:rPr>
        <w:br/>
        <w:t>4、现场查勘评估对象；</w:t>
      </w:r>
      <w:r>
        <w:rPr>
          <w:sz w:val="30"/>
        </w:rPr>
        <w:rPr>
          <w:rFonts w:eastAsia="宋体" w:ascii="宋体"/>
        </w:rPr>
        <w:br/>
        <w:t>5、相关证据拍照存档。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1、过程。</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截止评估基准日鉴定评估对象损失金额为人民币：45300元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肆万伍仟叁佰元整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1、委托方提供的资料真实性由委托方负责；</w:t>
      </w:r>
      <w:r>
        <w:rPr>
          <w:sz w:val="30"/>
        </w:rPr>
        <w:rPr>
          <w:rFonts w:eastAsia="宋体" w:ascii="宋体"/>
        </w:rPr>
        <w:br/>
        <w:t>2、实际所有人与行驶证所有人不符；</w:t>
      </w:r>
      <w:r>
        <w:rPr>
          <w:sz w:val="30"/>
        </w:rPr>
        <w:rPr>
          <w:rFonts w:eastAsia="宋体" w:ascii="宋体"/>
        </w:rPr>
        <w:br/>
        <w:t>3、被保险人不是所有人。</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2019年04月01日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2018年04月02日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18</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2021-01-26T07:39:59Z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