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冀RC6698</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2019年06月20日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2019年06月20日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津恒实鉴估字2019第0031号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18</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冀RC6698</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LGAX2A134H1012159</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冀RC6698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重型非载货专项作业车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驼马牌JLC5140TQZBC</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LGAX2A134H1012159</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H3003585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2017年06月22日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2017年06月22日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2、津恒实鉴估字2019第0031号。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1、迁安发生事故；蓟州起诉；评估车辆无事故责任，本车为标的车，由于碰撞造成前部损失。</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截止评估基准日鉴定评估对象损失金额为人民币：19700元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壹万玖仟柒佰元整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1、1.建议赔偿方回收有必要的残值或扣除相关的残值价值以确保双方的权益及利益； 2.中国人民财险天津宁河支公司保险工作人员谢科文因开庭未与我司工作人员到维修单位进行鉴定工作； 3.车辆所有人对本次事故的损失要求修复； 4.开展鉴定工作时，车辆已修复； 5.残值较多较大，建议扣除处理，避免不必要的运输费用。。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2020年06月18日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2019年06月20日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