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京QV7L98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申建云</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2018年12月17日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2018年12月17日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津恒实鉴估字2018第0080号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117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京QV7L98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LVHRE4870850117101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申建云</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京QV7L98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思威DHW6452B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LVHRE4870850117101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2017112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2008年05月05日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2008年05月05日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2、《机动车强制报废标准规定》；</w:t>
      </w:r>
      <w:r>
        <w:rPr>
          <w:sz w:val="30"/>
        </w:rPr>
        <w:rPr>
          <w:rFonts w:eastAsia="宋体" w:ascii="宋体"/>
        </w:rPr>
        <w:br/>
        <w:t>3、其他法律、法规、政策文件等。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1、《GB7258-2017机动车安全运行条件》；</w:t>
      </w:r>
      <w:r>
        <w:rPr>
          <w:sz w:val="30"/>
        </w:rPr>
        <w:rPr>
          <w:rFonts w:eastAsia="宋体" w:ascii="宋体"/>
        </w:rPr>
        <w:br/>
        <w:t>2、其他相关国家/行业标准、技术规范。</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1、天津市蓟州区人民法院委托书（1）；</w:t>
      </w:r>
      <w:r>
        <w:rPr>
          <w:sz w:val="30"/>
        </w:rPr>
        <w:rPr>
          <w:rFonts w:eastAsia="宋体" w:ascii="宋体"/>
        </w:rPr>
        <w:br/>
        <w:t>2、津恒实鉴估字2018第0080号；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1、实地查勘委托评估的车辆；</w:t>
      </w:r>
      <w:r>
        <w:rPr>
          <w:sz w:val="30"/>
        </w:rPr>
        <w:rPr>
          <w:rFonts w:eastAsia="宋体" w:ascii="宋体"/>
        </w:rPr>
        <w:br/>
        <w:t>2、确定事故车更换配件项目及照相留存损失照片；</w:t>
      </w:r>
      <w:r>
        <w:rPr>
          <w:sz w:val="30"/>
        </w:rPr>
        <w:rPr>
          <w:rFonts w:eastAsia="宋体" w:ascii="宋体"/>
        </w:rPr>
        <w:br/>
        <w:t>3、确定事故车修复项目及照相留存损失照片；</w:t>
      </w:r>
      <w:r>
        <w:rPr>
          <w:sz w:val="30"/>
        </w:rPr>
        <w:rPr>
          <w:rFonts w:eastAsia="宋体" w:ascii="宋体"/>
        </w:rPr>
        <w:br/>
        <w:t>4、市场调研相关配件的市场零售价格及相关工时费等。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截止评估基准日鉴定评估对象损失金额为人民币：78300元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柒万捌仟叁佰元整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2019年12月16日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2018年12月17日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