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w:t>
      </w:r>
      <w:r>
        <w:rPr>
          <w:rFonts w:ascii="宋体" w:cs="宋体" w:hAnsi="宋体" w:hint="default"/>
          <w:b w:val="0"/>
          <w:i w:val="0"/>
          <w:caps w:val="0"/>
          <w:color w:val="454343"/>
          <w:spacing w:val="0"/>
          <w:sz w:val="30"/>
          <w:szCs w:val="30"/>
          <w:lang w:eastAsia="zh-CN"/>
        </w:rPr>
        <w:t>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）报告书法律效力</w:t>
      </w:r>
      <w:bookmarkStart w:id="0" w:name="_GoBack"/>
      <w:bookmarkEnd w:id="0"/>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昱字鉴字2020第0023号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1</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2020年12月07日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为评估对象的损失提供参考依据（损毁前）</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2020年12月07日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1、《机动车登记规定》。</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1、《GB7258-2017机动车安全运行条件》。</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1、昱字鉴字2020第0023号；</w:t>
      </w:r>
      <w:r>
        <w:rPr>
          <w:sz w:val="30"/>
        </w:rPr>
        <w:rPr>
          <w:rFonts w:eastAsia="宋体" w:ascii="宋体"/>
        </w:rPr>
        <w:br/>
        <w:t>2、ppp。</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1、kpkp。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1、111。</w:t>
      </w:r>
    </w:p>
    <w:p>
      <w:pPr>
        <w:keepNext w:val="0"/>
        <w:keepLines w:val="0"/>
        <w:pageBreakBefore w:val="0"/>
        <w:widowControl w:val="0"/>
        <w:numPr>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1、1234。</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1、111。</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1、111。</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w:t>
      </w:r>
      <w:r>
        <w:rPr>
          <w:rFonts w:ascii="黑体" w:cs="黑体" w:eastAsia="黑体" w:hAnsi="黑体" w:hint="default"/>
          <w:b w:val="0"/>
          <w:i w:val="0"/>
          <w:caps w:val="0"/>
          <w:color w:val="auto"/>
          <w:spacing w:val="0"/>
          <w:kern w:val="0"/>
          <w:sz w:val="32"/>
          <w:szCs w:val="32"/>
          <w:lang w:bidi="ar" w:eastAsia="zh-CN"/>
        </w:rPr>
        <w:t>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1、委托方提供资料真实性由委托方负责。</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136</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2021年05月04日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2020年12月20日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altName w:val="华文宋体"/>
    <w:panose1 w:val="02010600040101010101"/>
    <w:charset w:val="86"/>
    <w:family w:val="auto"/>
    <w:pitch w:val="default"/>
    <w:sig w:usb0="00000000" w:usb1="0000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Songti SC Regular">
    <w:panose1 w:val="02010800040101010101"/>
    <w:charset w:val="86"/>
    <w:family w:val="auto"/>
    <w:pitch w:val="default"/>
    <w:sig w:usb0="00000001" w:usb1="080F0000" w:usb2="00000000" w:usb3="00000000" w:csb0="00040000" w:csb1="00000000"/>
  </w:font>
  <w:font w:name="PingFang TC Regular">
    <w:panose1 w:val="020B0400000000000000"/>
    <w:charset w:val="88"/>
    <w:family w:val="auto"/>
    <w:pitch w:val="default"/>
    <w:sig w:usb0="A00002FF" w:usb1="7ACFFDFB" w:usb2="00000017" w:usb3="00000000" w:csb0="00100001" w:csb1="00000000"/>
  </w:font>
  <w:font w:name="Heiti SC Light">
    <w:panose1 w:val="02000000000000000000"/>
    <w:charset w:val="86"/>
    <w:family w:val="auto"/>
    <w:pitch w:val="default"/>
    <w:sig w:usb0="8000002F" w:usb1="0800004A" w:usb2="00000000" w:usb3="00000000" w:csb0="203E0000" w:csb1="00000000"/>
  </w:font>
  <w:font w:name="华文宋体">
    <w:panose1 w:val="02010600040101010101"/>
    <w:charset w:val="86"/>
    <w:family w:val="auto"/>
    <w:pitch w:val="default"/>
    <w:sig w:usb0="80000287" w:usb1="280F3C52" w:usb2="00000016" w:usb3="00000000" w:csb0="0004001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B9BC8"/>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2020-04-11T01:46:00Z</dcterms:created>
  <dc:creator>微软用户</dc:creator>
  <cp:lastModifiedBy>liuyutao</cp:lastModifiedBy>
  <cp:lastPrinted>2020-05-21T17:51:00Z</cp:lastPrinted>
  <dcterms:modified xsi:type="dcterms:W3CDTF">2020-12-25T10:55:33Z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