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hint="eastAsia"/>
          <w:b/>
          <w:bCs/>
          <w:sz w:val="32"/>
          <w:szCs w:val="32"/>
        </w:rPr>
      </w:pPr>
      <w:r/>
      <w:bookmarkStart w:id="0" w:name="_GoBack"/>
      <w:r/>
      <w:bookmarkEnd w:id="0"/>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2857500" cy="2857500"/>
                <wp:effectExtent l="0" t="0" r="0" b="0"/>
                <wp:docPr id="5"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1"/>
                        <a:stretch/>
                      </pic:blipFill>
                      <pic:spPr bwMode="auto">
                        <a:xfrm>
                          <a:off x="0" y="0"/>
                          <a:ext cx="2857500" cy="285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225.0pt;height:225.0pt;" stroked="false">
                <v:path textboxrect="0,0,0,0"/>
                <v:imagedata r:id="rId11"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00B5F0"/>
          <w:spacing w:val="0"/>
          <w:sz w:val="18"/>
          <w:szCs w:val="32"/>
          <w:u w:val="none"/>
          <w:shd w:val="nil" w:color="auto" w:fill="auto"/>
          <w:lang w:val="en-US" w:bidi="ar" w:eastAsia="zh-CN"/>
        </w:rPr>
        <w:t xml:space="preserve">张三</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津A12345</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李四</w:t>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521"/>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521"/>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521"/>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521"/>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521"/>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521"/>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521"/>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521"/>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521"/>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521"/>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521"/>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521"/>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521"/>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521"/>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521"/>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521"/>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521"/>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521"/>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521"/>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48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张三</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6"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6"/>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2020年12月02日</w:t>
      </w:r>
      <w:r/>
    </w:p>
    <w:p>
      <w:pPr>
        <w:ind w:left="0" w:firstLine="0"/>
        <w:jc w:val="center"/>
        <w:keepLines w:val="false"/>
        <w:keepNext w:val="false"/>
        <w:pageBreakBefore w:val="false"/>
        <w:spacing w:lineRule="auto" w:line="42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本人接受人民法院委托，依照国家法律法规完成本次司法鉴定活动，承诺如下：</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6" w:firstLine="0"/>
        <w:jc w:val="right"/>
        <w:keepLines w:val="false"/>
        <w:keepNext w:val="false"/>
        <w:pageBreakBefore w:val="false"/>
        <w:spacing w:lineRule="auto" w:line="420" w:afterAutospacing="0"/>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6"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6"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6"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鉴定机构：（盖章）</w:t>
      </w:r>
      <w:r/>
    </w:p>
    <w:p>
      <w:pPr>
        <w:ind w:right="2386"/>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2020年12月02日</w:t>
      </w:r>
      <w:r/>
    </w:p>
    <w:p>
      <w:pPr>
        <w:ind w:right="2386"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521"/>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28"/>
          <w:szCs w:val="28"/>
        </w:rPr>
      </w:r>
      <w:r/>
    </w:p>
    <w:p>
      <w:pPr>
        <w:pStyle w:val="521"/>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昱字鉴估字2020第0022号</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张三</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1</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津A12345</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A1234567890</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521"/>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522"/>
        <w:tblpPr w:horzAnchor="page" w:tblpXSpec="center" w:vertAnchor="text" w:tblpY="616" w:leftFromText="180" w:topFromText="0" w:rightFromText="180" w:bottomFromText="0"/>
        <w:tblW w:w="5066"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32"/>
        <w:gridCol w:w="2662"/>
        <w:gridCol w:w="1786"/>
        <w:gridCol w:w="3729"/>
      </w:tblGrid>
      <w:tr>
        <w:trPr>
          <w:jc w:val="center"/>
        </w:trPr>
        <w:tc>
          <w:tcPr>
            <w:tcW w:w="1832" w:type="dxa"/>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2662" w:type="dxa"/>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张三</w:t>
            </w:r>
            <w:r/>
          </w:p>
        </w:tc>
        <w:tc>
          <w:tcPr>
            <w:tcW w:w="1786" w:type="dxa"/>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3729" w:type="dxa"/>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15600000000</w:t>
            </w:r>
            <w:r/>
          </w:p>
        </w:tc>
      </w:tr>
      <w:tr>
        <w:trPr>
          <w:jc w:val="center"/>
        </w:trPr>
        <w:tc>
          <w:tcPr>
            <w:tcW w:w="1832" w:type="dxa"/>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2662" w:type="dxa"/>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李四</w:t>
            </w:r>
            <w:r/>
          </w:p>
        </w:tc>
        <w:tc>
          <w:tcPr>
            <w:tcW w:w="1786" w:type="dxa"/>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3729" w:type="dxa"/>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非运营</w:t>
            </w:r>
            <w:r/>
          </w:p>
        </w:tc>
      </w:tr>
      <w:tr>
        <w:trPr>
          <w:jc w:val="center"/>
        </w:trPr>
        <w:tc>
          <w:tcPr>
            <w:tcW w:w="1832" w:type="dxa"/>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2662" w:type="dxa"/>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津A12345</w:t>
            </w:r>
            <w:r/>
          </w:p>
        </w:tc>
        <w:tc>
          <w:tcPr>
            <w:tcW w:w="1786" w:type="dxa"/>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3729" w:type="dxa"/>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轿车</w:t>
            </w:r>
            <w:r/>
          </w:p>
        </w:tc>
      </w:tr>
      <w:tr>
        <w:trPr>
          <w:jc w:val="center"/>
        </w:trPr>
        <w:tc>
          <w:tcPr>
            <w:tcW w:w="1832" w:type="dxa"/>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2662" w:type="dxa"/>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夏利</w:t>
            </w:r>
            <w:r/>
          </w:p>
        </w:tc>
        <w:tc>
          <w:tcPr>
            <w:tcW w:w="1786" w:type="dxa"/>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3729" w:type="dxa"/>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A1234567890</w:t>
            </w:r>
            <w:r/>
          </w:p>
        </w:tc>
      </w:tr>
      <w:tr>
        <w:trPr>
          <w:jc w:val="center"/>
        </w:trPr>
        <w:tc>
          <w:tcPr>
            <w:tcW w:w="1832" w:type="dxa"/>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2662" w:type="dxa"/>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F1234567890</w:t>
            </w:r>
            <w:r/>
          </w:p>
        </w:tc>
        <w:tc>
          <w:tcPr>
            <w:tcW w:w="1786" w:type="dxa"/>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3729" w:type="dxa"/>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2020年12月01日</w:t>
            </w:r>
            <w:r/>
          </w:p>
        </w:tc>
      </w:tr>
    </w:tbl>
    <w:p>
      <w:pPr>
        <w:rPr>
          <w:rFonts w:ascii="黑体" w:hAnsi="黑体" w:cs="黑体" w:eastAsia="黑体"/>
          <w:sz w:val="32"/>
          <w:szCs w:val="32"/>
        </w:rPr>
      </w:pPr>
      <w:r>
        <w:rPr>
          <w:rFonts w:ascii="黑体" w:hAnsi="黑体" w:cs="黑体" w:eastAsia="黑体"/>
          <w:sz w:val="32"/>
          <w:szCs w:val="32"/>
        </w:rPr>
        <w:br w:type="page"/>
      </w:r>
      <w:r/>
    </w:p>
    <w:p>
      <w:pPr>
        <w:pStyle w:val="521"/>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123</w:t>
      </w:r>
      <w:r/>
    </w:p>
    <w:p>
      <w:pPr>
        <w:pStyle w:val="521"/>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2020年12月01日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1、评估依据1；</w:t>
      </w:r>
      <w:r>
        <w:rPr>
          <w:rFonts w:ascii="宋体" w:eastAsia="宋体"/>
          <w:sz w:val="30"/>
        </w:rPr>
        <w:br/>
        <w:t xml:space="preserve">2、评估依据2；</w:t>
      </w:r>
      <w:r>
        <w:rPr>
          <w:rFonts w:ascii="宋体" w:eastAsia="宋体"/>
          <w:sz w:val="30"/>
        </w:rPr>
        <w:br/>
        <w:t xml:space="preserve">3、评估依据3。</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1、技术依据1；</w:t>
      </w:r>
      <w:r>
        <w:rPr>
          <w:rFonts w:ascii="宋体" w:eastAsia="宋体"/>
          <w:sz w:val="30"/>
        </w:rPr>
        <w:br/>
        <w:t xml:space="preserve">2、技术依据2；</w:t>
      </w:r>
      <w:r>
        <w:rPr>
          <w:rFonts w:ascii="宋体" w:eastAsia="宋体"/>
          <w:sz w:val="30"/>
        </w:rPr>
        <w:br/>
        <w:t xml:space="preserve">3、技术依据3。</w:t>
      </w:r>
      <w:r/>
    </w:p>
    <w:p>
      <w:pPr>
        <w:numPr>
          <w:ilvl w:val="0"/>
          <w:numId w:val="1"/>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1、昱字鉴估字2020第0022号；</w:t>
      </w:r>
      <w:r>
        <w:rPr>
          <w:rFonts w:ascii="宋体" w:eastAsia="宋体"/>
          <w:sz w:val="30"/>
        </w:rPr>
        <w:br/>
        <w:t xml:space="preserve">2、行为依据1；</w:t>
      </w:r>
      <w:r>
        <w:rPr>
          <w:rFonts w:ascii="宋体" w:eastAsia="宋体"/>
          <w:sz w:val="30"/>
        </w:rPr>
        <w:br/>
        <w:t xml:space="preserve">3、行为依据2；</w:t>
      </w:r>
      <w:r>
        <w:rPr>
          <w:rFonts w:ascii="宋体" w:eastAsia="宋体"/>
          <w:sz w:val="30"/>
        </w:rPr>
        <w:br/>
        <w:t xml:space="preserve">4、行为依据3。</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1、其他材料1；</w:t>
      </w:r>
      <w:r>
        <w:rPr>
          <w:rFonts w:ascii="宋体" w:eastAsia="宋体"/>
          <w:sz w:val="30"/>
        </w:rPr>
        <w:br/>
        <w:t xml:space="preserve">2、其他材料2；</w:t>
      </w:r>
      <w:r>
        <w:rPr>
          <w:rFonts w:ascii="宋体" w:eastAsia="宋体"/>
          <w:sz w:val="30"/>
        </w:rPr>
        <w:br/>
        <w:t xml:space="preserve">3、其他材料3。</w:t>
      </w:r>
      <w:r/>
    </w:p>
    <w:p>
      <w:pPr>
        <w:pStyle w:val="521"/>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521"/>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w:t>
      </w:r>
      <w:r/>
    </w:p>
    <w:p>
      <w:pPr>
        <w:jc w:val="left"/>
        <w:keepLines w:val="false"/>
        <w:keepNext w:val="false"/>
        <w:pageBreakBefore w:val="false"/>
        <w:spacing w:lineRule="auto" w:line="360"/>
        <w:widowControl/>
        <w:rPr>
          <w:rFonts w:ascii="宋体" w:hAnsi="宋体" w:cs="宋体" w:eastAsia="宋体" w:hint="default"/>
          <w:sz w:val="30"/>
          <w:szCs w:val="30"/>
          <w:u w:val="single"/>
          <w:lang w:val="en-US"/>
        </w:rPr>
        <w:suppressLineNumbers w:val="0"/>
      </w:pPr>
      <w:r>
        <w:rPr>
          <w:rFonts w:ascii="宋体" w:hAnsi="宋体" w:cs="宋体" w:eastAsia="宋体" w:hint="eastAsia"/>
          <w:sz w:val="30"/>
          <w:szCs w:val="30"/>
        </w:rPr>
        <w:t xml:space="preserve">其他</w:t>
      </w:r>
      <w:r>
        <w:rPr>
          <w:rFonts w:ascii="宋体" w:eastAsia="宋体"/>
          <w:b w:val="false"/>
          <w:i w:val="false"/>
          <w:caps w:val="false"/>
          <w:color w:val="333333"/>
          <w:spacing w:val="0"/>
          <w:sz w:val="30"/>
          <w:szCs w:val="32"/>
          <w:u w:val="single"/>
          <w:shd w:val="nil" w:color="auto" w:fill="auto"/>
          <w:lang w:val="en-US" w:bidi="ar" w:eastAsia="zh-CN"/>
        </w:rPr>
        <w:t xml:space="preserve">其他方法</w:t>
      </w:r>
      <w:r/>
    </w:p>
    <w:p>
      <w:pPr>
        <w:pStyle w:val="521"/>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1、第一步；</w:t>
      </w:r>
      <w:r>
        <w:rPr>
          <w:rFonts w:ascii="宋体" w:eastAsia="宋体"/>
          <w:sz w:val="30"/>
        </w:rPr>
        <w:br/>
        <w:t xml:space="preserve">2、第二步；</w:t>
      </w:r>
      <w:r>
        <w:rPr>
          <w:rFonts w:ascii="宋体" w:eastAsia="宋体"/>
          <w:sz w:val="30"/>
        </w:rPr>
        <w:br/>
        <w:t xml:space="preserve">3、第三步。</w:t>
      </w:r>
      <w:r/>
    </w:p>
    <w:p>
      <w:pPr>
        <w:pStyle w:val="521"/>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left="0" w:firstLine="641"/>
        <w:jc w:val="left"/>
        <w:keepLines w:val="false"/>
        <w:keepNext w:val="false"/>
        <w:pageBreakBefore w:val="false"/>
        <w:spacing w:lineRule="auto" w:line="360"/>
        <w:shd w:val="clear" w:fill="FFFFFF" w:color="FFFFFF"/>
        <w:widowControl w:val="off"/>
        <w:rPr>
          <w:rFonts w:ascii="黑体" w:hAnsi="黑体" w:cs="黑体" w:eastAsia="黑体"/>
          <w:sz w:val="30"/>
          <w:szCs w:val="30"/>
          <w:lang w:bidi="ar"/>
        </w:rPr>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color w:val="FF0000"/>
          <w:sz w:val="30"/>
          <w:szCs w:val="30"/>
        </w:rPr>
        <w:t xml:space="preserve">截止评估时点鉴定评估对象现价值为 </w:t>
      </w:r>
      <w:r>
        <w:rPr>
          <w:rFonts w:ascii="宋体" w:eastAsia="宋体"/>
          <w:b w:val="false"/>
          <w:i w:val="false"/>
          <w:caps w:val="false"/>
          <w:color w:val="FF0000"/>
          <w:spacing w:val="0"/>
          <w:sz w:val="30"/>
          <w:szCs w:val="30"/>
          <w:u w:val="none"/>
          <w:shd w:val="nil" w:color="auto" w:fill="auto"/>
          <w:lang w:val="en-US" w:bidi="ar" w:eastAsia="zh-CN"/>
        </w:rPr>
        <w:t xml:space="preserve">800</w:t>
      </w:r>
      <w:r>
        <w:rPr>
          <w:rFonts w:ascii="宋体" w:hAnsi="宋体" w:cs="宋体" w:eastAsia="宋体" w:hint="eastAsia"/>
          <w:b/>
          <w:bCs/>
          <w:color w:val="FF0000"/>
          <w:sz w:val="30"/>
          <w:szCs w:val="30"/>
        </w:rPr>
        <w:t xml:space="preserve">元（大写人民币：</w:t>
      </w:r>
      <w:r>
        <w:rPr>
          <w:rFonts w:ascii="宋体" w:eastAsia="宋体"/>
          <w:b w:val="false"/>
          <w:i w:val="false"/>
          <w:caps w:val="false"/>
          <w:color w:val="FF0000"/>
          <w:spacing w:val="0"/>
          <w:sz w:val="30"/>
          <w:szCs w:val="30"/>
          <w:u w:val="none"/>
          <w:shd w:val="nil" w:color="auto" w:fill="auto"/>
          <w:lang w:val="en-US" w:bidi="ar" w:eastAsia="zh-CN"/>
        </w:rPr>
        <w:t xml:space="preserve">捌佰元整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521"/>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521"/>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521"/>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521"/>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521"/>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1、特别事项1；</w:t>
      </w:r>
      <w:r>
        <w:rPr>
          <w:rFonts w:ascii="宋体" w:eastAsia="宋体"/>
          <w:sz w:val="30"/>
        </w:rPr>
        <w:br/>
        <w:t xml:space="preserve">2、特别事项2；</w:t>
      </w:r>
      <w:r>
        <w:rPr>
          <w:rFonts w:ascii="宋体" w:eastAsia="宋体"/>
          <w:sz w:val="30"/>
        </w:rPr>
        <w:br/>
        <w:t xml:space="preserve">3、特别事项3。</w:t>
      </w:r>
      <w:r/>
    </w:p>
    <w:p>
      <w:pPr>
        <w:pStyle w:val="521"/>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hAnsi="宋体" w:cs="宋体" w:eastAsia="宋体" w:hint="eastAsia"/>
          <w:sz w:val="30"/>
          <w:szCs w:val="30"/>
        </w:rPr>
        <w:t xml:space="preserve">份，有效期为</w:t>
      </w:r>
      <w:r>
        <w:rPr>
          <w:rFonts w:ascii="宋体" w:hAnsi="宋体" w:cs="宋体" w:eastAsia="宋体" w:hint="eastAsia"/>
          <w:sz w:val="30"/>
          <w:szCs w:val="30"/>
        </w:rPr>
        <w:t xml:space="preserve">天，自报告书提出日至</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6"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2"/>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75.0pt;height:75.0pt;" stroked="false">
                <v:path textboxrect="0,0,0,0"/>
                <v:imagedata r:id="rId12" o:title=""/>
              </v:shape>
            </w:pict>
          </mc:Fallback>
        </mc:AlternateConten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widowControl/>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天津昱见科技发展有限公司</w:t>
      </w:r>
      <w:r/>
    </w:p>
    <w:p>
      <w:pPr>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2020年12月02日</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20"/>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20"/>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20"/>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20"/>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20"/>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20"/>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17"/>
    <w:next w:val="517"/>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18"/>
    <w:link w:val="11"/>
    <w:uiPriority w:val="9"/>
    <w:rPr>
      <w:rFonts w:ascii="Arial" w:hAnsi="Arial" w:cs="Arial" w:eastAsia="Arial"/>
      <w:sz w:val="40"/>
      <w:szCs w:val="40"/>
    </w:rPr>
  </w:style>
  <w:style w:type="paragraph" w:styleId="13">
    <w:name w:val="Heading 2"/>
    <w:basedOn w:val="517"/>
    <w:next w:val="517"/>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18"/>
    <w:link w:val="13"/>
    <w:uiPriority w:val="9"/>
    <w:rPr>
      <w:rFonts w:ascii="Arial" w:hAnsi="Arial" w:cs="Arial" w:eastAsia="Arial"/>
      <w:sz w:val="34"/>
    </w:rPr>
  </w:style>
  <w:style w:type="paragraph" w:styleId="15">
    <w:name w:val="Heading 3"/>
    <w:basedOn w:val="517"/>
    <w:next w:val="517"/>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18"/>
    <w:link w:val="15"/>
    <w:uiPriority w:val="9"/>
    <w:rPr>
      <w:rFonts w:ascii="Arial" w:hAnsi="Arial" w:cs="Arial" w:eastAsia="Arial"/>
      <w:sz w:val="30"/>
      <w:szCs w:val="30"/>
    </w:rPr>
  </w:style>
  <w:style w:type="paragraph" w:styleId="17">
    <w:name w:val="Heading 4"/>
    <w:basedOn w:val="517"/>
    <w:next w:val="517"/>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18"/>
    <w:link w:val="17"/>
    <w:uiPriority w:val="9"/>
    <w:rPr>
      <w:rFonts w:ascii="Arial" w:hAnsi="Arial" w:cs="Arial" w:eastAsia="Arial"/>
      <w:b/>
      <w:bCs/>
      <w:sz w:val="26"/>
      <w:szCs w:val="26"/>
    </w:rPr>
  </w:style>
  <w:style w:type="paragraph" w:styleId="19">
    <w:name w:val="Heading 5"/>
    <w:basedOn w:val="517"/>
    <w:next w:val="517"/>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18"/>
    <w:link w:val="19"/>
    <w:uiPriority w:val="9"/>
    <w:rPr>
      <w:rFonts w:ascii="Arial" w:hAnsi="Arial" w:cs="Arial" w:eastAsia="Arial"/>
      <w:b/>
      <w:bCs/>
      <w:sz w:val="24"/>
      <w:szCs w:val="24"/>
    </w:rPr>
  </w:style>
  <w:style w:type="paragraph" w:styleId="21">
    <w:name w:val="Heading 6"/>
    <w:basedOn w:val="517"/>
    <w:next w:val="517"/>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18"/>
    <w:link w:val="21"/>
    <w:uiPriority w:val="9"/>
    <w:rPr>
      <w:rFonts w:ascii="Arial" w:hAnsi="Arial" w:cs="Arial" w:eastAsia="Arial"/>
      <w:b/>
      <w:bCs/>
      <w:sz w:val="22"/>
      <w:szCs w:val="22"/>
    </w:rPr>
  </w:style>
  <w:style w:type="paragraph" w:styleId="23">
    <w:name w:val="Heading 7"/>
    <w:basedOn w:val="517"/>
    <w:next w:val="517"/>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18"/>
    <w:link w:val="23"/>
    <w:uiPriority w:val="9"/>
    <w:rPr>
      <w:rFonts w:ascii="Arial" w:hAnsi="Arial" w:cs="Arial" w:eastAsia="Arial"/>
      <w:b/>
      <w:bCs/>
      <w:i/>
      <w:iCs/>
      <w:sz w:val="22"/>
      <w:szCs w:val="22"/>
    </w:rPr>
  </w:style>
  <w:style w:type="paragraph" w:styleId="25">
    <w:name w:val="Heading 8"/>
    <w:basedOn w:val="517"/>
    <w:next w:val="517"/>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18"/>
    <w:link w:val="25"/>
    <w:uiPriority w:val="9"/>
    <w:rPr>
      <w:rFonts w:ascii="Arial" w:hAnsi="Arial" w:cs="Arial" w:eastAsia="Arial"/>
      <w:i/>
      <w:iCs/>
      <w:sz w:val="22"/>
      <w:szCs w:val="22"/>
    </w:rPr>
  </w:style>
  <w:style w:type="paragraph" w:styleId="27">
    <w:name w:val="Heading 9"/>
    <w:basedOn w:val="517"/>
    <w:next w:val="517"/>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18"/>
    <w:link w:val="27"/>
    <w:uiPriority w:val="9"/>
    <w:rPr>
      <w:rFonts w:ascii="Arial" w:hAnsi="Arial" w:cs="Arial" w:eastAsia="Arial"/>
      <w:i/>
      <w:iCs/>
      <w:sz w:val="21"/>
      <w:szCs w:val="21"/>
    </w:rPr>
  </w:style>
  <w:style w:type="paragraph" w:styleId="29">
    <w:name w:val="List Paragraph"/>
    <w:basedOn w:val="517"/>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17"/>
    <w:next w:val="517"/>
    <w:link w:val="33"/>
    <w:qFormat/>
    <w:uiPriority w:val="10"/>
    <w:rPr>
      <w:sz w:val="48"/>
      <w:szCs w:val="48"/>
    </w:rPr>
    <w:pPr>
      <w:contextualSpacing w:val="true"/>
      <w:spacing w:after="200" w:before="300"/>
    </w:pPr>
  </w:style>
  <w:style w:type="character" w:styleId="33">
    <w:name w:val="Title Char"/>
    <w:basedOn w:val="518"/>
    <w:link w:val="32"/>
    <w:uiPriority w:val="10"/>
    <w:rPr>
      <w:sz w:val="48"/>
      <w:szCs w:val="48"/>
    </w:rPr>
  </w:style>
  <w:style w:type="paragraph" w:styleId="34">
    <w:name w:val="Subtitle"/>
    <w:basedOn w:val="517"/>
    <w:next w:val="517"/>
    <w:link w:val="35"/>
    <w:qFormat/>
    <w:uiPriority w:val="11"/>
    <w:rPr>
      <w:sz w:val="24"/>
      <w:szCs w:val="24"/>
    </w:rPr>
    <w:pPr>
      <w:spacing w:after="200" w:before="200"/>
    </w:pPr>
  </w:style>
  <w:style w:type="character" w:styleId="35">
    <w:name w:val="Subtitle Char"/>
    <w:basedOn w:val="518"/>
    <w:link w:val="34"/>
    <w:uiPriority w:val="11"/>
    <w:rPr>
      <w:sz w:val="24"/>
      <w:szCs w:val="24"/>
    </w:rPr>
  </w:style>
  <w:style w:type="paragraph" w:styleId="36">
    <w:name w:val="Quote"/>
    <w:basedOn w:val="517"/>
    <w:next w:val="517"/>
    <w:link w:val="37"/>
    <w:qFormat/>
    <w:uiPriority w:val="29"/>
    <w:rPr>
      <w:i/>
    </w:rPr>
    <w:pPr>
      <w:ind w:left="720" w:right="720"/>
    </w:pPr>
  </w:style>
  <w:style w:type="character" w:styleId="37">
    <w:name w:val="Quote Char"/>
    <w:link w:val="36"/>
    <w:uiPriority w:val="29"/>
    <w:rPr>
      <w:i/>
    </w:rPr>
  </w:style>
  <w:style w:type="paragraph" w:styleId="38">
    <w:name w:val="Intense Quote"/>
    <w:basedOn w:val="517"/>
    <w:next w:val="517"/>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paragraph" w:styleId="40">
    <w:name w:val="Header"/>
    <w:basedOn w:val="517"/>
    <w:link w:val="41"/>
    <w:uiPriority w:val="99"/>
    <w:unhideWhenUsed/>
    <w:pPr>
      <w:spacing w:lineRule="auto" w:line="240" w:after="0"/>
      <w:tabs>
        <w:tab w:val="center" w:pos="7143" w:leader="none"/>
        <w:tab w:val="right" w:pos="14287" w:leader="none"/>
      </w:tabs>
    </w:pPr>
  </w:style>
  <w:style w:type="character" w:styleId="41">
    <w:name w:val="Header Char"/>
    <w:basedOn w:val="518"/>
    <w:link w:val="40"/>
    <w:uiPriority w:val="99"/>
  </w:style>
  <w:style w:type="character" w:styleId="43">
    <w:name w:val="Footer Char"/>
    <w:basedOn w:val="518"/>
    <w:link w:val="520"/>
    <w:uiPriority w:val="99"/>
  </w:style>
  <w:style w:type="paragraph" w:styleId="44">
    <w:name w:val="Caption"/>
    <w:basedOn w:val="517"/>
    <w:next w:val="517"/>
    <w:qFormat/>
    <w:uiPriority w:val="35"/>
    <w:semiHidden/>
    <w:unhideWhenUsed/>
    <w:rPr>
      <w:b/>
      <w:bCs/>
      <w:color w:val="4F81BD" w:themeColor="accent1"/>
      <w:sz w:val="18"/>
      <w:szCs w:val="18"/>
    </w:rPr>
    <w:pPr>
      <w:spacing w:lineRule="auto" w:line="276"/>
    </w:pPr>
  </w:style>
  <w:style w:type="character" w:styleId="45">
    <w:name w:val="Caption Char"/>
    <w:basedOn w:val="44"/>
    <w:link w:val="520"/>
    <w:uiPriority w:val="99"/>
  </w:style>
  <w:style w:type="table" w:styleId="47">
    <w:name w:val="Table Grid Light"/>
    <w:basedOn w:val="519"/>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19"/>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19"/>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19"/>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19"/>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19"/>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19"/>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19"/>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19"/>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19"/>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19"/>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19"/>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19"/>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19"/>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19"/>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19"/>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19"/>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19"/>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19"/>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19"/>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19"/>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19"/>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19"/>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19"/>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19"/>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19"/>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19"/>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19"/>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19"/>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19"/>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19"/>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19"/>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19"/>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19"/>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1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1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1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1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1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1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1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19"/>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19"/>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19"/>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19"/>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19"/>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19"/>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19"/>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519"/>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19"/>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19"/>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19"/>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19"/>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19"/>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19"/>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19"/>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19"/>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19"/>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19"/>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19"/>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19"/>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19"/>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19"/>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19"/>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19"/>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19"/>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19"/>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19"/>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19"/>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19"/>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19"/>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19"/>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19"/>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19"/>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19"/>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19"/>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19"/>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19"/>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19"/>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19"/>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19"/>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19"/>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19"/>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19"/>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19"/>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19"/>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19"/>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19"/>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19"/>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19"/>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19"/>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19"/>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519"/>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519"/>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519"/>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519"/>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519"/>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519"/>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19"/>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519"/>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519"/>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519"/>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519"/>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519"/>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51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1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1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1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1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1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1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19"/>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19"/>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19"/>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19"/>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19"/>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19"/>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19"/>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19"/>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19"/>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19"/>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19"/>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19"/>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19"/>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19"/>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17"/>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18"/>
    <w:uiPriority w:val="99"/>
    <w:unhideWhenUsed/>
    <w:rPr>
      <w:vertAlign w:val="superscript"/>
    </w:rPr>
  </w:style>
  <w:style w:type="paragraph" w:styleId="176">
    <w:name w:val="endnote text"/>
    <w:basedOn w:val="517"/>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18"/>
    <w:uiPriority w:val="99"/>
    <w:semiHidden/>
    <w:unhideWhenUsed/>
    <w:rPr>
      <w:vertAlign w:val="superscript"/>
    </w:rPr>
  </w:style>
  <w:style w:type="paragraph" w:styleId="179">
    <w:name w:val="toc 1"/>
    <w:basedOn w:val="517"/>
    <w:next w:val="517"/>
    <w:uiPriority w:val="39"/>
    <w:unhideWhenUsed/>
    <w:pPr>
      <w:ind w:left="0" w:right="0" w:firstLine="0"/>
      <w:spacing w:after="57"/>
    </w:pPr>
  </w:style>
  <w:style w:type="paragraph" w:styleId="180">
    <w:name w:val="toc 2"/>
    <w:basedOn w:val="517"/>
    <w:next w:val="517"/>
    <w:uiPriority w:val="39"/>
    <w:unhideWhenUsed/>
    <w:pPr>
      <w:ind w:left="283" w:right="0" w:firstLine="0"/>
      <w:spacing w:after="57"/>
    </w:pPr>
  </w:style>
  <w:style w:type="paragraph" w:styleId="181">
    <w:name w:val="toc 3"/>
    <w:basedOn w:val="517"/>
    <w:next w:val="517"/>
    <w:uiPriority w:val="39"/>
    <w:unhideWhenUsed/>
    <w:pPr>
      <w:ind w:left="567" w:right="0" w:firstLine="0"/>
      <w:spacing w:after="57"/>
    </w:pPr>
  </w:style>
  <w:style w:type="paragraph" w:styleId="182">
    <w:name w:val="toc 4"/>
    <w:basedOn w:val="517"/>
    <w:next w:val="517"/>
    <w:uiPriority w:val="39"/>
    <w:unhideWhenUsed/>
    <w:pPr>
      <w:ind w:left="850" w:right="0" w:firstLine="0"/>
      <w:spacing w:after="57"/>
    </w:pPr>
  </w:style>
  <w:style w:type="paragraph" w:styleId="183">
    <w:name w:val="toc 5"/>
    <w:basedOn w:val="517"/>
    <w:next w:val="517"/>
    <w:uiPriority w:val="39"/>
    <w:unhideWhenUsed/>
    <w:pPr>
      <w:ind w:left="1134" w:right="0" w:firstLine="0"/>
      <w:spacing w:after="57"/>
    </w:pPr>
  </w:style>
  <w:style w:type="paragraph" w:styleId="184">
    <w:name w:val="toc 6"/>
    <w:basedOn w:val="517"/>
    <w:next w:val="517"/>
    <w:uiPriority w:val="39"/>
    <w:unhideWhenUsed/>
    <w:pPr>
      <w:ind w:left="1417" w:right="0" w:firstLine="0"/>
      <w:spacing w:after="57"/>
    </w:pPr>
  </w:style>
  <w:style w:type="paragraph" w:styleId="185">
    <w:name w:val="toc 7"/>
    <w:basedOn w:val="517"/>
    <w:next w:val="517"/>
    <w:uiPriority w:val="39"/>
    <w:unhideWhenUsed/>
    <w:pPr>
      <w:ind w:left="1701" w:right="0" w:firstLine="0"/>
      <w:spacing w:after="57"/>
    </w:pPr>
  </w:style>
  <w:style w:type="paragraph" w:styleId="186">
    <w:name w:val="toc 8"/>
    <w:basedOn w:val="517"/>
    <w:next w:val="517"/>
    <w:uiPriority w:val="39"/>
    <w:unhideWhenUsed/>
    <w:pPr>
      <w:ind w:left="1984" w:right="0" w:firstLine="0"/>
      <w:spacing w:after="57"/>
    </w:pPr>
  </w:style>
  <w:style w:type="paragraph" w:styleId="187">
    <w:name w:val="toc 9"/>
    <w:basedOn w:val="517"/>
    <w:next w:val="517"/>
    <w:uiPriority w:val="39"/>
    <w:unhideWhenUsed/>
    <w:pPr>
      <w:ind w:left="2268" w:right="0" w:firstLine="0"/>
      <w:spacing w:after="57"/>
    </w:pPr>
  </w:style>
  <w:style w:type="paragraph" w:styleId="188">
    <w:name w:val="TOC Heading"/>
    <w:uiPriority w:val="39"/>
    <w:unhideWhenUsed/>
  </w:style>
  <w:style w:type="paragraph" w:styleId="517"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518" w:default="1">
    <w:name w:val="Default Paragraph Font"/>
    <w:qFormat/>
    <w:uiPriority w:val="1"/>
    <w:unhideWhenUsed/>
  </w:style>
  <w:style w:type="table" w:styleId="519" w:default="1">
    <w:name w:val="Normal Table"/>
    <w:qFormat/>
    <w:uiPriority w:val="99"/>
    <w:unhideWhenUsed/>
    <w:tblPr>
      <w:tblCellMar>
        <w:left w:w="108" w:type="dxa"/>
        <w:top w:w="0" w:type="dxa"/>
        <w:right w:w="108" w:type="dxa"/>
        <w:bottom w:w="0" w:type="dxa"/>
      </w:tblCellMar>
    </w:tblPr>
  </w:style>
  <w:style w:type="paragraph" w:styleId="520">
    <w:name w:val="Footer"/>
    <w:basedOn w:val="517"/>
    <w:link w:val="523"/>
    <w:qFormat/>
    <w:uiPriority w:val="99"/>
    <w:rPr>
      <w:rFonts w:ascii="等线" w:hAnsi="等线" w:cs="等线" w:eastAsia="等线"/>
      <w:sz w:val="18"/>
      <w:szCs w:val="18"/>
    </w:rPr>
    <w:pPr>
      <w:jc w:val="left"/>
      <w:tabs>
        <w:tab w:val="center" w:pos="4153" w:leader="none"/>
        <w:tab w:val="right" w:pos="8306" w:leader="none"/>
      </w:tabs>
    </w:pPr>
  </w:style>
  <w:style w:type="paragraph" w:styleId="521">
    <w:name w:val="Normal (Web)"/>
    <w:basedOn w:val="517"/>
    <w:qFormat/>
    <w:uiPriority w:val="0"/>
    <w:rPr>
      <w:sz w:val="24"/>
    </w:rPr>
    <w:pPr>
      <w:jc w:val="left"/>
      <w:spacing w:after="100" w:afterAutospacing="1" w:before="100" w:beforeAutospacing="1"/>
    </w:pPr>
  </w:style>
  <w:style w:type="table" w:styleId="522">
    <w:name w:val="Table Grid"/>
    <w:basedOn w:val="519"/>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523" w:customStyle="1">
    <w:name w:val="页脚 字符"/>
    <w:link w:val="520"/>
    <w:qFormat/>
    <w:uiPriority w:val="99"/>
    <w:rPr>
      <w:sz w:val="18"/>
      <w:szCs w:val="18"/>
    </w:rPr>
  </w:style>
  <w:style w:type="character" w:styleId="524" w:customStyle="1">
    <w:name w:val="页脚 字符1"/>
    <w:basedOn w:val="518"/>
    <w:qFormat/>
    <w:uiPriority w:val="99"/>
    <w:semiHidden/>
    <w:rPr>
      <w:rFonts w:ascii="Calibri" w:hAnsi="Calibri" w:cs="Times New Roman" w:eastAsia="微软雅黑"/>
      <w:sz w:val="18"/>
      <w:szCs w:val="18"/>
    </w:rPr>
  </w:style>
  <w:style w:type="numbering" w:styleId="1360"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image" Target="media/image1.png"/><Relationship Id="rId12"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3</cp:revision>
  <dcterms:created xsi:type="dcterms:W3CDTF">2020-10-30T12:54:00Z</dcterms:created>
  <dcterms:modified xsi:type="dcterms:W3CDTF">2020-12-21T03:50:05Z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