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left"/>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                    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张家琛，张毅代</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张家琛，张毅代</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1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津RMK723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LGKG42G92A9970747</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张家琛，张毅代</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13021342899</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津RMK723</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小型面包车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东风牌EQ6400LF22Q</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LGKG42G92A9970747</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10134614</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2010年08月19日</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为司法裁决作参考</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2010年08月19日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1、张家琛，张毅代委托书（）；</w:t>
      </w:r>
      <w:r>
        <w:rPr>
          <w:rFonts w:ascii="宋体" w:eastAsia="宋体"/>
          <w:sz w:val="30"/>
        </w:rPr>
        <w:br/>
        <w:t xml:space="preserve">2、恒实鉴估字2020第0043号；</w:t>
      </w:r>
      <w:r>
        <w:rPr>
          <w:rFonts w:ascii="宋体" w:eastAsia="宋体"/>
          <w:sz w:val="30"/>
        </w:rPr>
        <w:br/>
        <w:t xml:space="preserve">3、权属证明，车主证件，委托方证件。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1、评估车辆市场现价值。</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${evaluationMethodOther}</w:t>
      </w:r>
      <w:bookmarkStart w:id="0" w:name="_GoBack"/>
      <w:r/>
      <w:bookmarkEnd w:id="0"/>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4200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肆仟贰佰元整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2021年05月08日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2020-10-30T04:54:00Z</dcterms:created>
  <dcterms:modified xsi:type="dcterms:W3CDTF">2021-08-28T02:30:06Z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