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${carnumberBlue}</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恒实鉴估字2019第0077号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2"/>
          <w:szCs w:val="32"/>
          <w:u w:val="none"/>
          <w:shd w:fill="FFFFFF" w:val="clear"/>
          <w:lang w:bidi="ar" w:eastAsia="zh-CN" w:val="en-US"/>
        </w:rPr>
        <w:t>${carnumber}</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2"/>
          <w:szCs w:val="32"/>
          <w:u w:val="none"/>
          <w:shd w:fill="FFFFFF" w:val="clear"/>
          <w:lang w:bidi="ar" w:eastAsia="zh-CN" w:val="en-US"/>
        </w:rPr>
        <w:t>${chassisnumber}</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1、委托书编号为鉴估字2019第0077号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1、委托书（恒实鉴估字2019第0077）</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${evaluationMethodOther}</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