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2"/>
          <w:szCs w:val="32"/>
          <w:u w:val="none"/>
          <w:shd w:fill="FFFFFF" w:val="clear"/>
          <w:lang w:bidi="ar" w:eastAsia="zh-CN" w:val="en-US"/>
        </w:rPr>
        <w:t>${carnumberBlue}</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恒实鉴估字2020第0004号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2"/>
          <w:szCs w:val="32"/>
          <w:u w:val="none"/>
          <w:shd w:fill="FFFFFF" w:val="clear"/>
          <w:lang w:bidi="ar" w:eastAsia="zh-CN" w:val="en-US"/>
        </w:rPr>
        <w:t>${carnumber}</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2"/>
          <w:szCs w:val="32"/>
          <w:u w:val="none"/>
          <w:shd w:fill="FFFFFF" w:val="clear"/>
          <w:lang w:bidi="ar" w:eastAsia="zh-CN" w:val="en-US"/>
        </w:rPr>
        <w:t>${chassisnumber}</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1、委托书编号为鉴估字2020第0004号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1、委托书（恒实鉴估字2020第0004）</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0"/>
          <w:u w:val="none"/>
          <w:shd w:fill="FFFFFF" w:val="clear"/>
          <w:lang w:bidi="ar" w:eastAsia="zh-CN" w:val="en-US"/>
        </w:rPr>
        <w:t>${evaluationMethodOther}</w:t>
      </w:r>
      <w:bookmarkStart w:id="0" w:name="_GoBack"/>
      <w:bookmarkEnd w:id="0"/>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2</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2020-12-02T06:46:41Z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