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color="auto" w:fill="FFFFFF"/>
        <w:widowControl/>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color w:val="000000"/>
          <w:sz w:val="36"/>
          <w:szCs w:val="36"/>
          <w:shd w:val="clear" w:color="auto" w:fill="FFFFFF"/>
        </w:rPr>
      </w:pPr>
      <w:r>
        <w:rPr>
          <w:rFonts w:ascii="宋体" w:eastAsia="宋体"/>
          <w:color w:val="000000"/>
          <w:sz w:val="30"/>
          <w:szCs w:val="36"/>
          <w:shd w:val="nil" w:color="auto" w:fill="auto"/>
        </w:rPr>
        <w:t xml:space="preserve">天津昱见科技发展有限公司</w:t>
      </w:r>
      <w:r/>
    </w:p>
    <w:p>
      <w:pPr>
        <w:ind w:left="0" w:firstLine="0"/>
        <w:jc w:val="center"/>
        <w:keepLines w:val="false"/>
        <w:keepNext w:val="false"/>
        <w:pageBreakBefore w:val="false"/>
        <w:spacing w:lineRule="auto" w:line="360" w:afterAutospacing="0"/>
        <w:rPr>
          <w:rFonts w:ascii="宋体" w:hAnsi="宋体" w:cs="宋体" w:eastAsia="宋体"/>
          <w:color w:val="000000"/>
          <w:sz w:val="36"/>
          <w:szCs w:val="36"/>
          <w:shd w:val="clear" w:color="auto" w:fill="FFFFFF"/>
        </w:rPr>
      </w:pPr>
      <w:r>
        <w:rPr>
          <w:rFonts w:ascii="宋体" w:hAnsi="宋体" w:cs="宋体" w:eastAsia="宋体"/>
          <w:color w:val="000000"/>
          <w:sz w:val="36"/>
          <w:szCs w:val="36"/>
          <w:shd w:val="clear" w:color="auto" w:fill="FFFFFF"/>
        </w:rPr>
      </w:r>
      <w:r/>
    </w:p>
    <w:p>
      <w:pPr>
        <w:pStyle w:val="388"/>
        <w:jc w:val="center"/>
        <w:keepLines w:val="false"/>
        <w:keepNext w:val="false"/>
        <w:shd w:val="clear" w:color="auto" w:fill="FFFFFF"/>
        <w:widowControl/>
        <w:rPr>
          <w:rFonts w:ascii="Menlo" w:hAnsi="Menlo" w:cs="Menlo" w:eastAsia="Menlo"/>
          <w:color w:val="000000"/>
          <w:sz w:val="24"/>
          <w:szCs w:val="24"/>
        </w:rPr>
      </w:pPr>
      <w:r>
        <w:rPr>
          <w:rFonts w:ascii="宋体" w:eastAsia="宋体"/>
          <w:b w:val="false"/>
          <w:i w:val="false"/>
          <w:caps w:val="false"/>
          <w:color w:val="00B5F0"/>
          <w:spacing w:val="0"/>
          <w:sz w:val="18"/>
          <w:szCs w:val="32"/>
          <w:u w:val="none"/>
          <w:shd w:val="nil" w:color="auto" w:fill="auto"/>
          <w:lang w:val="en-US" w:bidi="ar" w:eastAsia="zh-CN"/>
        </w:rPr>
        <w:t xml:space="preserve">123123</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津A123456</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footerReference w:type="default" r:id="rId8"/>
          <w:foot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jc w:val="center"/>
        <w:keepLines w:val="false"/>
        <w:keepNext w:val="false"/>
        <w:pageBreakBefore w:val="false"/>
        <w:spacing w:lineRule="exact" w:line="600" w:afterAutospacing="0"/>
        <w:rPr>
          <w:rFonts w:ascii="黑体" w:hAnsi="宋体" w:eastAsia="黑体" w:hint="eastAsia"/>
          <w:sz w:val="44"/>
          <w:szCs w:val="44"/>
        </w:rPr>
      </w:pPr>
      <w:r>
        <w:rPr>
          <w:rFonts w:ascii="黑体" w:hAnsi="宋体" w:eastAsia="黑体" w:hint="eastAsia"/>
          <w:sz w:val="44"/>
          <w:szCs w:val="44"/>
          <w:lang w:val="en-US" w:eastAsia="zh-CN"/>
        </w:rPr>
        <w:t xml:space="preserve">公司</w:t>
      </w:r>
      <w:r>
        <w:rPr>
          <w:rFonts w:ascii="黑体" w:hAnsi="宋体" w:eastAsia="黑体" w:hint="eastAsia"/>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本公司接受人民法院委托，依据国家法律法规完成本次司法鉴定活动，承担相应法律法规责任。承诺如下：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本人接受人民法院委托，依照国家法律法规完成本次司法鉴定活动，承诺如下：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鉴定机构：（盖章）</w:t>
      </w:r>
      <w:r/>
    </w:p>
    <w:p>
      <w:pPr>
        <w:ind w:right="2385"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2385"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389"/>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pPr>
      <w:r>
        <w:rPr>
          <w:rFonts w:ascii="宋体" w:hAnsi="宋体" w:cs="宋体" w:eastAsia="宋体"/>
          <w:b/>
          <w:bCs w:val="false"/>
          <w:i w:val="false"/>
          <w:caps w:val="false"/>
          <w:color w:val="454343"/>
          <w:spacing w:val="0"/>
          <w:sz w:val="44"/>
          <w:szCs w:val="44"/>
          <w:lang w:val="en-US" w:eastAsia="zh-CN"/>
        </w:rPr>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四、鉴定报告书</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rPr>
        <w:t xml:space="preserve">、</w:t>
      </w:r>
      <w:r>
        <w:rPr>
          <w:rFonts w:ascii="宋体" w:hAnsi="宋体" w:cs="宋体" w:eastAsia="宋体" w:hint="eastAsia"/>
          <w:b w:val="false"/>
          <w:i w:val="false"/>
          <w:caps w:val="false"/>
          <w:color w:val="454343"/>
          <w:spacing w:val="0"/>
          <w:sz w:val="30"/>
          <w:szCs w:val="30"/>
          <w:lang w:eastAsia="zh-CN"/>
        </w:rPr>
        <w:t xml:space="preserve">基本信息</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）技术分析</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八</w:t>
      </w:r>
      <w:r>
        <w:rPr>
          <w:rFonts w:ascii="宋体" w:hAnsi="宋体" w:cs="宋体" w:eastAsia="宋体" w:hint="eastAsia"/>
          <w:b w:val="false"/>
          <w:i w:val="false"/>
          <w:caps w:val="false"/>
          <w:color w:val="454343"/>
          <w:spacing w:val="0"/>
          <w:sz w:val="30"/>
          <w:szCs w:val="30"/>
          <w:lang w:eastAsia="zh-CN"/>
        </w:rPr>
        <w:t xml:space="preserve">）鉴定意见</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（九）鉴定假设条件</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十一</w:t>
      </w:r>
      <w:r>
        <w:rPr>
          <w:rFonts w:ascii="宋体" w:hAnsi="宋体" w:cs="宋体" w:eastAsia="宋体" w:hint="eastAsia"/>
          <w:b w:val="false"/>
          <w:i w:val="false"/>
          <w:caps w:val="false"/>
          <w:color w:val="454343"/>
          <w:spacing w:val="0"/>
          <w:sz w:val="30"/>
          <w:szCs w:val="30"/>
          <w:lang w:eastAsia="zh-CN"/>
        </w:rPr>
        <w:t xml:space="preserve">）报告书法律效力</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十二</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38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pPr>
      <w:r>
        <w:rPr>
          <w:b w:val="false"/>
          <w:sz w:val="21"/>
          <w:szCs w:val="24"/>
        </w:rPr>
      </w:r>
      <w:r/>
    </w:p>
    <w:p>
      <w:pPr>
        <w:pStyle w:val="38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pPr>
      <w:r>
        <w:rPr>
          <w:b w:val="false"/>
          <w:sz w:val="21"/>
          <w:szCs w:val="24"/>
        </w:rPr>
      </w:r>
      <w:r/>
    </w:p>
    <w:p>
      <w:pPr>
        <w:pStyle w:val="389"/>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lang w:eastAsia="zh-CN"/>
        </w:rPr>
      </w:r>
      <w:r/>
    </w:p>
    <w:p>
      <w:pPr>
        <w:pStyle w:val="389"/>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rPr>
        <w:t xml:space="preserve">报告</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ind w:right="0"/>
        <w:jc w:val="right"/>
        <w:keepLines w:val="false"/>
        <w:keepNext w:val="false"/>
        <w:pageBreakBefore w:val="false"/>
        <w:spacing w:lineRule="exact" w:line="500" w:afterAutospacing="0"/>
        <w:rPr>
          <w:rFonts w:ascii="Times New Roman" w:hAnsi="Times New Roman" w:eastAsia="宋体" w:hint="default"/>
          <w:color w:val="auto"/>
          <w:sz w:val="21"/>
        </w:rPr>
      </w:pPr>
      <w:r>
        <w:rPr>
          <w:rFonts w:ascii="宋体" w:hAnsi="宋体" w:cs="宋体" w:eastAsia="宋体" w:hint="eastAsia"/>
          <w:b w:val="false"/>
          <w:i w:val="false"/>
          <w:caps w:val="false"/>
          <w:color w:val="auto"/>
          <w:spacing w:val="0"/>
          <w:sz w:val="21"/>
          <w:szCs w:val="21"/>
          <w:lang w:val="en-US" w:bidi="ar" w:eastAsia="zh-CN"/>
        </w:rPr>
        <w:t xml:space="preserve"> </w:t>
      </w:r>
      <w:r>
        <w:rPr>
          <w:rFonts w:ascii="宋体" w:hAnsi="宋体" w:cs="宋体" w:eastAsia="宋体" w:hint="eastAsia"/>
          <w:szCs w:val="21"/>
          <w:lang w:bidi="ar"/>
        </w:rPr>
        <w:t xml:space="preserve">鉴字</w:t>
      </w:r>
      <w:r>
        <w:rPr>
          <w:rFonts w:ascii="宋体" w:eastAsia="宋体"/>
          <w:color w:val="333333"/>
          <w:sz w:val="30"/>
          <w:szCs w:val="21"/>
          <w:shd w:val="nil" w:color="auto" w:fill="auto"/>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nil" w:color="auto" w:fill="auto"/>
        </w:rPr>
        <w:t xml:space="preserve">0021</w:t>
      </w:r>
      <w:r/>
    </w:p>
    <w:p>
      <w:pPr>
        <w:pStyle w:val="389"/>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eastAsia="宋体"/>
          <w:sz w:val="30"/>
          <w:szCs w:val="30"/>
          <w:shd w:val="nil" w:color="auto" w:fill="auto"/>
        </w:rPr>
        <w:t xml:space="preserve">123123</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eastAsia="宋体"/>
          <w:sz w:val="30"/>
          <w:szCs w:val="30"/>
          <w:shd w:val="nil" w:color="auto" w:fill="auto"/>
          <w:lang w:val="en-US" w:eastAsia="zh-CN"/>
        </w:rPr>
        <w:t xml:space="preserve">津A123456</w:t>
      </w:r>
      <w:r>
        <w:rPr>
          <w:rFonts w:ascii="宋体" w:hAnsi="宋体" w:cs="宋体" w:eastAsia="宋体" w:hint="eastAsia"/>
          <w:color w:val="auto"/>
          <w:spacing w:val="0"/>
          <w:sz w:val="30"/>
          <w:szCs w:val="30"/>
          <w:lang w:val="en-US" w:eastAsia="zh-CN"/>
        </w:rPr>
        <w:t xml:space="preserve">、车辆识别代码</w:t>
      </w:r>
      <w:r>
        <w:rPr>
          <w:rFonts w:ascii="宋体" w:eastAsia="宋体"/>
          <w:sz w:val="30"/>
          <w:szCs w:val="30"/>
          <w:shd w:val="nil" w:color="auto" w:fill="auto"/>
          <w:lang w:val="en-US" w:eastAsia="zh-CN"/>
        </w:rPr>
        <w:t xml:space="preserve">识别代码1111</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eastAsia="宋体" w:hint="eastAsia"/>
          <w:color w:val="auto"/>
          <w:sz w:val="30"/>
          <w:szCs w:val="30"/>
        </w:rPr>
        <w:t xml:space="preserve">报告</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389"/>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394"/>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123123</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15620612944</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非运营</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津A123456</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轿车</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奥迪A5</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识别代码1111</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发动机号1234</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2020年11月23日</w:t>
            </w:r>
            <w:r/>
          </w:p>
        </w:tc>
      </w:tr>
    </w:tbl>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389"/>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eastAsia="宋体"/>
          <w:sz w:val="30"/>
          <w:szCs w:val="30"/>
          <w:shd w:val="nil" w:color="auto" w:fill="auto"/>
          <w:lang w:val="en-US" w:bidi="ar-SA" w:eastAsia="zh-CN"/>
        </w:rPr>
        <w:t xml:space="preserve">123</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eastAsia="宋体"/>
          <w:sz w:val="30"/>
          <w:szCs w:val="30"/>
          <w:shd w:val="nil" w:color="auto" w:fill="auto"/>
        </w:rPr>
        <w:t xml:space="preserve">2020年11月23日</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eastAsia="zh-CN"/>
        </w:rPr>
        <w:t xml:space="preserve">（一）法律、法规依据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1、评估依据</w:t>
      </w:r>
      <w:r/>
    </w:p>
    <w:p>
      <w:pPr>
        <w:numPr>
          <w:ilvl w:val="0"/>
          <w:numId w:val="2"/>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val="en-US" w:eastAsia="zh-CN"/>
        </w:rPr>
      </w:pPr>
      <w:r>
        <w:rPr>
          <w:rFonts w:ascii="宋体" w:hAnsi="宋体" w:cs="宋体" w:eastAsia="宋体" w:hint="eastAsia"/>
          <w:color w:val="auto"/>
          <w:spacing w:val="0"/>
          <w:sz w:val="30"/>
          <w:szCs w:val="30"/>
          <w:lang w:eastAsia="zh-CN"/>
        </w:rPr>
        <w:t xml:space="preserve">技术</w:t>
      </w:r>
      <w:r>
        <w:rPr>
          <w:rFonts w:ascii="宋体" w:hAnsi="宋体" w:cs="宋体" w:eastAsia="宋体" w:hint="eastAsia"/>
          <w:color w:val="auto"/>
          <w:spacing w:val="0"/>
          <w:sz w:val="30"/>
          <w:szCs w:val="30"/>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1、技术依据</w:t>
      </w:r>
      <w:r/>
    </w:p>
    <w:p>
      <w:pPr>
        <w:numPr>
          <w:ilvl w:val="0"/>
          <w:numId w:val="3"/>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val="en-US" w:eastAsia="zh-CN"/>
        </w:rPr>
      </w:pPr>
      <w:r>
        <w:rPr>
          <w:rFonts w:ascii="宋体" w:hAnsi="宋体" w:cs="宋体" w:eastAsia="宋体" w:hint="eastAsia"/>
          <w:color w:val="auto"/>
          <w:spacing w:val="0"/>
          <w:sz w:val="30"/>
          <w:szCs w:val="30"/>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1、委托方编号:123456</w:t>
      </w:r>
      <w:r>
        <w:rPr>
          <w:rFonts w:ascii="宋体" w:eastAsia="宋体"/>
          <w:sz w:val="30"/>
        </w:rPr>
        <w:br/>
        <w:t xml:space="preserve">2、委托方提供的资料（带入到报告中行为依据）</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1、委托书（鉴字2020第0021）</w:t>
      </w:r>
      <w:r>
        <w:rPr>
          <w:rFonts w:ascii="宋体" w:eastAsia="宋体"/>
          <w:sz w:val="30"/>
        </w:rPr>
        <w:br/>
        <w:t xml:space="preserve">2、评估方收集的资料（带入到报告中其他材料</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宋体" w:hAnsi="宋体" w:cs="宋体" w:eastAsia="宋体" w:hint="eastAsia"/>
          <w:color w:val="000000"/>
          <w:spacing w:val="0"/>
          <w:sz w:val="30"/>
          <w:szCs w:val="30"/>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FF0000"/>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选用合理鉴定方法，撰写报告送达的程序进行。</w:t>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eastAsia"/>
          <w:sz w:val="32"/>
          <w:szCs w:val="32"/>
          <w:lang w:eastAsia="zh-CN"/>
        </w:rPr>
        <w:t xml:space="preserve">七、技术分析</w:t>
      </w:r>
      <w:r/>
    </w:p>
    <w:p>
      <w:pPr>
        <w:jc w:val="left"/>
        <w:keepLines w:val="false"/>
        <w:keepNext w:val="false"/>
        <w:widowControl/>
        <w:rPr>
          <w:rFonts w:ascii="黑体" w:hAnsi="黑体" w:cs="黑体" w:eastAsia="黑体" w:hint="eastAsia"/>
          <w:color w:val="auto"/>
          <w:sz w:val="32"/>
          <w:szCs w:val="32"/>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1、鉴定评估过程与综合分析</w:t>
      </w:r>
      <w:r/>
    </w:p>
    <w:p>
      <w:pPr>
        <w:numPr>
          <w:ilvl w:val="0"/>
          <w:numId w:val="0"/>
        </w:numPr>
        <w:ind w:left="0" w:firstLine="0"/>
        <w:jc w:val="both"/>
        <w:keepLines w:val="false"/>
        <w:keepNext w:val="false"/>
        <w:pageBreakBefore w:val="false"/>
        <w:spacing w:lineRule="exact" w:line="500" w:afterAutospacing="0"/>
        <w:widowControl w:val="off"/>
        <w:rPr>
          <w:rFonts w:ascii="黑体" w:hAnsi="黑体" w:cs="黑体" w:eastAsia="黑体" w:hint="eastAsia"/>
          <w:color w:val="auto"/>
          <w:sz w:val="32"/>
          <w:szCs w:val="32"/>
          <w:lang w:eastAsia="zh-CN"/>
        </w:rPr>
      </w:pPr>
      <w:r>
        <w:rPr>
          <w:rFonts w:ascii="黑体" w:hAnsi="黑体" w:cs="黑体" w:eastAsia="黑体" w:hint="eastAsia"/>
          <w:color w:val="auto"/>
          <w:sz w:val="32"/>
          <w:szCs w:val="32"/>
          <w:lang w:eastAsia="zh-CN"/>
        </w:rPr>
        <w:t xml:space="preserve">八、鉴定意见</w:t>
      </w:r>
      <w:r/>
    </w:p>
    <w:p>
      <w:pPr>
        <w:jc w:val="left"/>
        <w:keepLines w:val="false"/>
        <w:keepNext w:val="false"/>
        <w:widowControl/>
        <w:rPr>
          <w:rFonts w:ascii="宋体" w:hAnsi="宋体" w:cs="宋体" w:eastAsia="宋体" w:hint="eastAsia"/>
          <w:color w:val="FF0000"/>
          <w:sz w:val="30"/>
          <w:szCs w:val="30"/>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1、鉴定评估结果</w:t>
      </w:r>
      <w:r/>
    </w:p>
    <w:p>
      <w:pPr>
        <w:pStyle w:val="389"/>
        <w:numPr>
          <w:ilvl w:val="0"/>
          <w:numId w:val="0"/>
        </w:numPr>
        <w:ind w:left="0" w:right="0" w:firstLine="419"/>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bidi="ar" w:eastAsia="zh-CN"/>
        </w:rPr>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九、鉴定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3.鉴定对象修复后可持续使用。</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1、特别说明事项</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十一、</w:t>
      </w:r>
      <w:r>
        <w:rPr>
          <w:rFonts w:ascii="黑体" w:hAnsi="黑体" w:cs="黑体" w:eastAsia="黑体" w:hint="default"/>
          <w:b w:val="false"/>
          <w:i w:val="false"/>
          <w:caps w:val="false"/>
          <w:color w:val="auto"/>
          <w:spacing w:val="0"/>
          <w:sz w:val="32"/>
          <w:szCs w:val="32"/>
          <w:lang w:val="en-US" w:bidi="ar" w:eastAsia="zh-CN"/>
        </w:rPr>
        <w:t xml:space="preserve">报告书法律效力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lang w:val="en-US" w:eastAsia="zh-CN"/>
        </w:rPr>
        <w:t xml:space="preserve">1.本报告书一式</w:t>
      </w:r>
      <w:r>
        <w:rPr>
          <w:rFonts w:ascii="宋体" w:hAnsi="宋体" w:cs="宋体" w:eastAsia="宋体" w:hint="eastAsia"/>
          <w:color w:val="auto"/>
          <w:spacing w:val="0"/>
          <w:sz w:val="28"/>
          <w:szCs w:val="28"/>
          <w:lang w:val="en-US" w:eastAsia="zh-CN"/>
        </w:rPr>
        <w:t xml:space="preserve">份，有效期为</w:t>
      </w:r>
      <w:r>
        <w:rPr>
          <w:rFonts w:ascii="宋体" w:hAnsi="宋体" w:cs="宋体" w:eastAsia="宋体" w:hint="eastAsia"/>
          <w:color w:val="auto"/>
          <w:spacing w:val="0"/>
          <w:sz w:val="28"/>
          <w:szCs w:val="28"/>
          <w:lang w:val="en-US" w:eastAsia="zh-CN"/>
        </w:rPr>
        <w:t xml:space="preserve">天，自报告书提出日至</w:t>
      </w:r>
      <w:r>
        <w:rPr>
          <w:rFonts w:ascii="宋体" w:hAnsi="宋体" w:cs="宋体" w:eastAsia="宋体" w:hint="eastAsia"/>
          <w:color w:val="auto"/>
          <w:spacing w:val="0"/>
          <w:sz w:val="28"/>
          <w:szCs w:val="28"/>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2.鉴定报告书使用权归委托方所有，其鉴定意见仅对本次鉴定有效，不得用于其他目的；因使用本鉴定报告书不当，而产生的任何后果与鉴定机构无关；如涂改、换页、复印均无效；</w:t>
      </w:r>
      <w:r/>
    </w:p>
    <w:p>
      <w:pPr>
        <w:pStyle w:val="389"/>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本鉴定报告书存</w:t>
      </w:r>
      <w:r>
        <w:rPr>
          <w:rFonts w:ascii="宋体" w:hAnsi="宋体" w:cs="宋体" w:eastAsia="宋体" w:hint="default"/>
          <w:color w:val="auto"/>
          <w:spacing w:val="0"/>
          <w:sz w:val="28"/>
          <w:szCs w:val="28"/>
          <w:lang w:val="en-US" w:eastAsia="zh-CN"/>
        </w:rPr>
        <w:t xml:space="preserve">有异议，可于报告书送达之日起10日内通过庭审质证或者申请重新鉴定、补充鉴定等方式解决</w:t>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eastAsia"/>
          <w:b w:val="false"/>
          <w:bCs/>
          <w:sz w:val="32"/>
          <w:szCs w:val="32"/>
          <w:lang w:eastAsia="zh-CN"/>
        </w:rPr>
        <w:t xml:space="preserve">二</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numPr>
          <w:ilvl w:val="0"/>
          <w:numId w:val="0"/>
        </w:numPr>
        <w:ind w:left="0" w:right="48" w:firstLine="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w:t>
      </w:r>
      <w:r/>
    </w:p>
    <w:p>
      <w:pPr>
        <w:numPr>
          <w:ilvl w:val="0"/>
          <w:numId w:val="0"/>
        </w:numPr>
        <w:ind w:right="48"/>
        <w:jc w:val="right"/>
        <w:keepLines w:val="false"/>
        <w:keepNext w:val="false"/>
        <w:pageBreakBefore w:val="false"/>
        <w:spacing w:lineRule="exact" w:line="500" w:afterAutospacing="0"/>
        <w:rPr>
          <w:rFonts w:ascii="宋体" w:hAnsi="宋体" w:cs="宋体" w:eastAsia="宋体" w:hint="default"/>
          <w:b w:val="false"/>
          <w:bCs w:val="false"/>
          <w:sz w:val="30"/>
          <w:szCs w:val="30"/>
          <w:lang w:val="en-US" w:eastAsia="zh-CN"/>
        </w:rPr>
      </w:pPr>
      <w:r>
        <w:rPr>
          <w:rFonts w:ascii="宋体" w:hAnsi="宋体" w:cs="宋体" w:eastAsia="宋体" w:hint="eastAsia"/>
          <w:b w:val="false"/>
          <w:bCs w:val="false"/>
          <w:sz w:val="30"/>
          <w:szCs w:val="30"/>
          <w:lang w:val="en-US" w:eastAsia="zh-CN"/>
        </w:rPr>
        <w:t xml:space="preserve">(盖章)                                  (盖章)</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48"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right"/>
        <w:keepLines w:val="false"/>
        <w:keepNext w:val="false"/>
        <w:pageBreakBefore w:val="false"/>
        <w:spacing w:lineRule="auto" w:line="360" w:afterAutospacing="0"/>
        <w:rPr>
          <w:rFonts w:ascii="宋体" w:hAnsi="宋体" w:cs="宋体" w:eastAsia="宋体"/>
          <w:sz w:val="30"/>
          <w:szCs w:val="30"/>
        </w:rPr>
      </w:pPr>
      <w:r>
        <w:rPr>
          <w:rFonts w:ascii="宋体" w:eastAsia="宋体"/>
          <w:color w:val="333333"/>
          <w:sz w:val="30"/>
          <w:szCs w:val="32"/>
          <w:shd w:val="nil" w:color="auto" w:fill="auto"/>
        </w:rPr>
        <w:t xml:space="preserve">天津昱见科技发展有限公司</w:t>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eastAsia="zh-CN"/>
        </w:rPr>
      </w:pPr>
      <w:r/>
      <w:bookmarkStart w:id="0" w:name="_GoBack"/>
      <w:r/>
      <w:bookmarkEnd w:id="0"/>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right"/>
        <w:keepLines w:val="false"/>
        <w:keepNext w:val="false"/>
        <w:widowControl/>
        <w:rPr>
          <w:rFonts w:ascii="宋体" w:hAnsi="宋体" w:cs="宋体" w:eastAsia="宋体" w:hint="default"/>
          <w:sz w:val="30"/>
          <w:szCs w:val="30"/>
          <w:lang w:val="en-US" w:eastAsia="zh-CN"/>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pageBreakBefore w:val="false"/>
        <w:spacing w:lineRule="auto" w:line="360" w:afterAutospacing="0"/>
        <w:rPr>
          <w:rFonts w:ascii="宋体" w:hAnsi="宋体" w:cs="宋体" w:eastAsia="宋体" w:hint="eastAsia"/>
          <w:sz w:val="30"/>
          <w:szCs w:val="30"/>
        </w:rPr>
      </w:pPr>
      <w:r>
        <w:rPr>
          <w:rFonts w:ascii="宋体" w:eastAsia="宋体"/>
          <w:color w:val="333333"/>
          <w:sz w:val="30"/>
          <w:szCs w:val="32"/>
          <w:shd w:val="nil" w:color="auto" w:fill="auto"/>
        </w:rPr>
        <w:t xml:space="preserve">2020年11月23日</w:t>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389"/>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bCs/>
          <w:i w:val="false"/>
          <w:caps w:val="false"/>
          <w:color w:val="auto"/>
          <w:spacing w:val="0"/>
          <w:sz w:val="48"/>
          <w:szCs w:val="48"/>
          <w:lang w:val="en-US" w:bidi="ar" w:eastAsia="zh-CN"/>
        </w:rPr>
        <w:t xml:space="preserve">附件</w:t>
      </w:r>
      <w:r/>
    </w:p>
    <w:p>
      <w:pPr>
        <w:pStyle w:val="389"/>
        <w:numPr>
          <w:ilvl w:val="0"/>
          <w:numId w:val="0"/>
        </w:numPr>
        <w:ind w:right="0"/>
        <w:jc w:val="left"/>
        <w:keepLines w:val="false"/>
        <w:keepNext w:val="false"/>
        <w:pageBreakBefore w:val="false"/>
        <w:spacing w:lineRule="exact" w:line="400" w:after="0" w:afterAutospacing="0" w:before="0" w:beforeAutospacing="0"/>
        <w:widowControl/>
        <w:rPr>
          <w:rFonts w:ascii="宋体" w:hAnsi="宋体"/>
          <w:sz w:val="36"/>
          <w:szCs w:val="36"/>
        </w:rPr>
        <w:pBdr>
          <w:left w:val="none" w:sz="0" w:space="0" w:color="auto"/>
          <w:top w:val="none" w:sz="0" w:space="0" w:color="auto"/>
          <w:right w:val="none" w:sz="0" w:space="0" w:color="auto"/>
          <w:bottom w:val="none" w:sz="0" w:space="0" w:color="auto"/>
        </w:pBdr>
      </w:pPr>
      <w:r>
        <w:rPr>
          <w:rFonts w:ascii="宋体" w:hAnsi="宋体"/>
          <w:sz w:val="36"/>
          <w:szCs w:val="36"/>
        </w:rPr>
      </w:r>
      <w:r/>
    </w:p>
    <w:sectPr>
      <w:footerReference w:type="default" r:id="rId9"/>
      <w:footnotePr/>
      <w:type w:val="nextPage"/>
      <w:pgSz w:w="11906" w:h="16838" w:orient="portrait"/>
      <w:pgMar w:top="1440" w:right="1800" w:bottom="1440" w:left="1800" w:header="851" w:footer="737" w:gutter="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微软雅黑">
    <w:panose1 w:val="020B0603020202020204"/>
  </w:font>
  <w:font w:name="Open Sans">
    <w:panose1 w:val="020B0606030504020204"/>
  </w:font>
  <w:font w:name="Symbol">
    <w:panose1 w:val="05010000000000000000"/>
  </w:font>
  <w:font w:name="Wingdings">
    <w:panose1 w:val="05010000000000000000"/>
  </w:font>
  <w:font w:name="Courier New">
    <w:panose1 w:val="02070309020205020404"/>
  </w:font>
  <w:font w:name="黑体">
    <w:panose1 w:val="02020603020101020101"/>
  </w:font>
  <w:font w:name="Arial">
    <w:panose1 w:val="020B0604020202020204"/>
  </w:font>
  <w:font w:name="宋体">
    <w:panose1 w:val="02020603020101020101"/>
  </w:font>
  <w:font w:name="Times New Roman">
    <w:panose1 w:val="02020603050405020304"/>
  </w:font>
  <w:font w:name="Calibri">
    <w:panose1 w:val="020F050202020403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385"/>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824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w: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3" name="文本框 11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w="15875">
                        <a:noFill/>
                      </a:ln>
                    </wps:spPr>
                    <wps:txbx>
                      <w:txbxContent>
                        <w:p>
                          <w:pPr>
                            <w:rPr>
                              <w:rFonts w:eastAsia="宋体"/>
                              <w:sz w:val="18"/>
                              <w:lang w:val="en-US" w:eastAsia="zh-CN"/>
                            </w:rPr>
                          </w:pPr>
                          <w:r>
                            <w:rPr>
                              <w:rFonts w:eastAsia="宋体"/>
                              <w:sz w:val="18"/>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 coordsize="100000,100000" path="" filled="f" strokeweight="1.25pt">
              <v:path textboxrect="0,0,0,0"/>
              <v:textbox>
                <w:txbxContent>
                  <w:p>
                    <w:pPr>
                      <w:rPr>
                        <w:rFonts w:eastAsia="宋体"/>
                        <w:sz w:val="18"/>
                        <w:lang w:val="en-US" w:eastAsia="zh-CN"/>
                      </w:rPr>
                    </w:pPr>
                    <w:r>
                      <w:rPr>
                        <w:rFonts w:eastAsia="宋体"/>
                        <w:sz w:val="18"/>
                        <w:lang w:val="en-US" w:eastAsia="zh-CN"/>
                      </w:rPr>
                    </w:r>
                    <w:r/>
                  </w:p>
                </w:txbxContent>
              </v:textbox>
            </v:shape>
          </w:pict>
        </mc:Fallback>
      </mc:AlternateContent>
    </w:r>
    <w:r>
      <w:rPr>
        <w:rFonts w:hint="eastAsia"/>
        <w:lang w:val="en-US" w:eastAsia="zh-CN"/>
      </w:rPr>
      <w:t xml:space="preserve">X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5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10"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hint="eastAsia"/>
                              <w:lang w:eastAsia="zh-CN"/>
                            </w:rPr>
                          </w:pPr>
                          <w:r>
                            <w:rPr>
                              <w:rFonts w:hint="eastAsia"/>
                              <w:lang w:val="en-US" w:eastAsia="zh-CN"/>
                            </w:rPr>
                            <w:t xml:space="preserve">4</w:t>
                          </w:r>
                          <w:r/>
                        </w:p>
                      </w:txbxContent>
                    </wps:txbx>
                    <wps:bodyPr vert="horz" wrap="none" lIns="0" tIns="0" rIns="0" bIns="0" anchor="t" upright="0">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385"/>
                      <w:rPr>
                        <w:rFonts w:eastAsia="宋体" w:hint="eastAsia"/>
                        <w:lang w:eastAsia="zh-CN"/>
                      </w:rPr>
                    </w:pPr>
                    <w:r>
                      <w:rPr>
                        <w:rFonts w:hint="eastAsia"/>
                        <w:lang w:val="en-US" w:eastAsia="zh-CN"/>
                      </w:rPr>
                      <w:t xml:space="preserve">4</w:t>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59264;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6" o:spid="_x0000_s6" o:spt="1" style="position:absolute;mso-wrap-distance-left:9.0pt;mso-wrap-distance-top:0.0pt;mso-wrap-distance-right:9.0pt;mso-wrap-distance-bottom:0.0pt;z-index:251660288;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XXXXXXXX</w:t>
    </w:r>
    <w:r>
      <w:rPr>
        <w:rFonts w:hint="eastAsia"/>
        <w:sz w:val="21"/>
        <w:lang w:val="en-US" w:eastAsia="zh-CN"/>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decimal"/>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2"/>
  </w:num>
  <w:num w:numId="3">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8"/>
    <w:next w:val="378"/>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80"/>
    <w:link w:val="11"/>
    <w:uiPriority w:val="9"/>
    <w:rPr>
      <w:rFonts w:ascii="Arial" w:hAnsi="Arial" w:cs="Arial" w:eastAsia="Arial"/>
      <w:sz w:val="40"/>
      <w:szCs w:val="40"/>
    </w:rPr>
  </w:style>
  <w:style w:type="character" w:styleId="14">
    <w:name w:val="Heading 2 Char"/>
    <w:basedOn w:val="380"/>
    <w:link w:val="379"/>
    <w:uiPriority w:val="9"/>
    <w:rPr>
      <w:rFonts w:ascii="Arial" w:hAnsi="Arial" w:cs="Arial" w:eastAsia="Arial"/>
      <w:sz w:val="34"/>
    </w:rPr>
  </w:style>
  <w:style w:type="paragraph" w:styleId="15">
    <w:name w:val="Heading 3"/>
    <w:basedOn w:val="378"/>
    <w:next w:val="378"/>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80"/>
    <w:link w:val="15"/>
    <w:uiPriority w:val="9"/>
    <w:rPr>
      <w:rFonts w:ascii="Arial" w:hAnsi="Arial" w:cs="Arial" w:eastAsia="Arial"/>
      <w:sz w:val="30"/>
      <w:szCs w:val="30"/>
    </w:rPr>
  </w:style>
  <w:style w:type="paragraph" w:styleId="17">
    <w:name w:val="Heading 4"/>
    <w:basedOn w:val="378"/>
    <w:next w:val="378"/>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80"/>
    <w:link w:val="17"/>
    <w:uiPriority w:val="9"/>
    <w:rPr>
      <w:rFonts w:ascii="Arial" w:hAnsi="Arial" w:cs="Arial" w:eastAsia="Arial"/>
      <w:b/>
      <w:bCs/>
      <w:sz w:val="26"/>
      <w:szCs w:val="26"/>
    </w:rPr>
  </w:style>
  <w:style w:type="paragraph" w:styleId="19">
    <w:name w:val="Heading 5"/>
    <w:basedOn w:val="378"/>
    <w:next w:val="378"/>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80"/>
    <w:link w:val="19"/>
    <w:uiPriority w:val="9"/>
    <w:rPr>
      <w:rFonts w:ascii="Arial" w:hAnsi="Arial" w:cs="Arial" w:eastAsia="Arial"/>
      <w:b/>
      <w:bCs/>
      <w:sz w:val="24"/>
      <w:szCs w:val="24"/>
    </w:rPr>
  </w:style>
  <w:style w:type="paragraph" w:styleId="21">
    <w:name w:val="Heading 6"/>
    <w:basedOn w:val="378"/>
    <w:next w:val="378"/>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80"/>
    <w:link w:val="21"/>
    <w:uiPriority w:val="9"/>
    <w:rPr>
      <w:rFonts w:ascii="Arial" w:hAnsi="Arial" w:cs="Arial" w:eastAsia="Arial"/>
      <w:b/>
      <w:bCs/>
      <w:sz w:val="22"/>
      <w:szCs w:val="22"/>
    </w:rPr>
  </w:style>
  <w:style w:type="paragraph" w:styleId="23">
    <w:name w:val="Heading 7"/>
    <w:basedOn w:val="378"/>
    <w:next w:val="378"/>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80"/>
    <w:link w:val="23"/>
    <w:uiPriority w:val="9"/>
    <w:rPr>
      <w:rFonts w:ascii="Arial" w:hAnsi="Arial" w:cs="Arial" w:eastAsia="Arial"/>
      <w:b/>
      <w:bCs/>
      <w:i/>
      <w:iCs/>
      <w:sz w:val="22"/>
      <w:szCs w:val="22"/>
    </w:rPr>
  </w:style>
  <w:style w:type="paragraph" w:styleId="25">
    <w:name w:val="Heading 8"/>
    <w:basedOn w:val="378"/>
    <w:next w:val="378"/>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80"/>
    <w:link w:val="25"/>
    <w:uiPriority w:val="9"/>
    <w:rPr>
      <w:rFonts w:ascii="Arial" w:hAnsi="Arial" w:cs="Arial" w:eastAsia="Arial"/>
      <w:i/>
      <w:iCs/>
      <w:sz w:val="22"/>
      <w:szCs w:val="22"/>
    </w:rPr>
  </w:style>
  <w:style w:type="paragraph" w:styleId="27">
    <w:name w:val="Heading 9"/>
    <w:basedOn w:val="378"/>
    <w:next w:val="378"/>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80"/>
    <w:link w:val="27"/>
    <w:uiPriority w:val="9"/>
    <w:rPr>
      <w:rFonts w:ascii="Arial" w:hAnsi="Arial" w:cs="Arial" w:eastAsia="Arial"/>
      <w:i/>
      <w:iCs/>
      <w:sz w:val="21"/>
      <w:szCs w:val="21"/>
    </w:rPr>
  </w:style>
  <w:style w:type="paragraph" w:styleId="29">
    <w:name w:val="List Paragraph"/>
    <w:basedOn w:val="378"/>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8"/>
    <w:next w:val="378"/>
    <w:link w:val="33"/>
    <w:qFormat/>
    <w:uiPriority w:val="10"/>
    <w:rPr>
      <w:sz w:val="48"/>
      <w:szCs w:val="48"/>
    </w:rPr>
    <w:pPr>
      <w:contextualSpacing w:val="true"/>
      <w:spacing w:after="200" w:before="300"/>
    </w:pPr>
  </w:style>
  <w:style w:type="character" w:styleId="33">
    <w:name w:val="Title Char"/>
    <w:basedOn w:val="380"/>
    <w:link w:val="32"/>
    <w:uiPriority w:val="10"/>
    <w:rPr>
      <w:sz w:val="48"/>
      <w:szCs w:val="48"/>
    </w:rPr>
  </w:style>
  <w:style w:type="paragraph" w:styleId="34">
    <w:name w:val="Subtitle"/>
    <w:basedOn w:val="378"/>
    <w:next w:val="378"/>
    <w:link w:val="35"/>
    <w:qFormat/>
    <w:uiPriority w:val="11"/>
    <w:rPr>
      <w:sz w:val="24"/>
      <w:szCs w:val="24"/>
    </w:rPr>
    <w:pPr>
      <w:spacing w:after="200" w:before="200"/>
    </w:pPr>
  </w:style>
  <w:style w:type="character" w:styleId="35">
    <w:name w:val="Subtitle Char"/>
    <w:basedOn w:val="380"/>
    <w:link w:val="34"/>
    <w:uiPriority w:val="11"/>
    <w:rPr>
      <w:sz w:val="24"/>
      <w:szCs w:val="24"/>
    </w:rPr>
  </w:style>
  <w:style w:type="paragraph" w:styleId="36">
    <w:name w:val="Quote"/>
    <w:basedOn w:val="378"/>
    <w:next w:val="378"/>
    <w:link w:val="37"/>
    <w:qFormat/>
    <w:uiPriority w:val="29"/>
    <w:rPr>
      <w:i/>
    </w:rPr>
    <w:pPr>
      <w:ind w:left="720" w:right="720"/>
    </w:pPr>
  </w:style>
  <w:style w:type="character" w:styleId="37">
    <w:name w:val="Quote Char"/>
    <w:link w:val="36"/>
    <w:uiPriority w:val="29"/>
    <w:rPr>
      <w:i/>
    </w:rPr>
  </w:style>
  <w:style w:type="paragraph" w:styleId="38">
    <w:name w:val="Intense Quote"/>
    <w:basedOn w:val="378"/>
    <w:next w:val="378"/>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380"/>
    <w:link w:val="386"/>
    <w:uiPriority w:val="99"/>
  </w:style>
  <w:style w:type="character" w:styleId="43">
    <w:name w:val="Footer Char"/>
    <w:basedOn w:val="380"/>
    <w:link w:val="385"/>
    <w:uiPriority w:val="99"/>
  </w:style>
  <w:style w:type="paragraph" w:styleId="44">
    <w:name w:val="Caption"/>
    <w:basedOn w:val="378"/>
    <w:next w:val="378"/>
    <w:qFormat/>
    <w:uiPriority w:val="35"/>
    <w:semiHidden/>
    <w:unhideWhenUsed/>
    <w:rPr>
      <w:b/>
      <w:bCs/>
      <w:color w:val="4F81BD" w:themeColor="accent1"/>
      <w:sz w:val="18"/>
      <w:szCs w:val="18"/>
    </w:rPr>
    <w:pPr>
      <w:spacing w:lineRule="auto" w:line="276"/>
    </w:pPr>
  </w:style>
  <w:style w:type="character" w:styleId="45">
    <w:name w:val="Caption Char"/>
    <w:basedOn w:val="44"/>
    <w:link w:val="385"/>
    <w:uiPriority w:val="99"/>
  </w:style>
  <w:style w:type="table" w:styleId="47">
    <w:name w:val="Table Grid Light"/>
    <w:basedOn w:val="38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8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8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8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8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8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8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8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8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8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8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8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8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8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8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8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8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8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8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8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8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8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8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8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8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8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8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8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8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8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8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8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8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8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8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8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8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8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38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8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8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8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8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8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8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81"/>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81"/>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81"/>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81"/>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81"/>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81"/>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81"/>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8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8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8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8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8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8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8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8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8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8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8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8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8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8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8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8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8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8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8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8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8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8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8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8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8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8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8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8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8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8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38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38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38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38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38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38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8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38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38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38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38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38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8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8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8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8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8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8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8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8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8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8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8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8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8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8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387"/>
    <w:uiPriority w:val="99"/>
    <w:rPr>
      <w:sz w:val="18"/>
    </w:rPr>
  </w:style>
  <w:style w:type="paragraph" w:styleId="176">
    <w:name w:val="toc 1"/>
    <w:basedOn w:val="378"/>
    <w:next w:val="378"/>
    <w:uiPriority w:val="39"/>
    <w:unhideWhenUsed/>
    <w:pPr>
      <w:ind w:left="0" w:right="0" w:firstLine="0"/>
      <w:spacing w:after="57"/>
    </w:pPr>
  </w:style>
  <w:style w:type="paragraph" w:styleId="177">
    <w:name w:val="toc 2"/>
    <w:basedOn w:val="378"/>
    <w:next w:val="378"/>
    <w:uiPriority w:val="39"/>
    <w:unhideWhenUsed/>
    <w:pPr>
      <w:ind w:left="283" w:right="0" w:firstLine="0"/>
      <w:spacing w:after="57"/>
    </w:pPr>
  </w:style>
  <w:style w:type="paragraph" w:styleId="178">
    <w:name w:val="toc 3"/>
    <w:basedOn w:val="378"/>
    <w:next w:val="378"/>
    <w:uiPriority w:val="39"/>
    <w:unhideWhenUsed/>
    <w:pPr>
      <w:ind w:left="567" w:right="0" w:firstLine="0"/>
      <w:spacing w:after="57"/>
    </w:pPr>
  </w:style>
  <w:style w:type="paragraph" w:styleId="179">
    <w:name w:val="toc 4"/>
    <w:basedOn w:val="378"/>
    <w:next w:val="378"/>
    <w:uiPriority w:val="39"/>
    <w:unhideWhenUsed/>
    <w:pPr>
      <w:ind w:left="850" w:right="0" w:firstLine="0"/>
      <w:spacing w:after="57"/>
    </w:pPr>
  </w:style>
  <w:style w:type="paragraph" w:styleId="180">
    <w:name w:val="toc 5"/>
    <w:basedOn w:val="378"/>
    <w:next w:val="378"/>
    <w:uiPriority w:val="39"/>
    <w:unhideWhenUsed/>
    <w:pPr>
      <w:ind w:left="1134" w:right="0" w:firstLine="0"/>
      <w:spacing w:after="57"/>
    </w:pPr>
  </w:style>
  <w:style w:type="paragraph" w:styleId="181">
    <w:name w:val="toc 6"/>
    <w:basedOn w:val="378"/>
    <w:next w:val="378"/>
    <w:uiPriority w:val="39"/>
    <w:unhideWhenUsed/>
    <w:pPr>
      <w:ind w:left="1417" w:right="0" w:firstLine="0"/>
      <w:spacing w:after="57"/>
    </w:pPr>
  </w:style>
  <w:style w:type="paragraph" w:styleId="182">
    <w:name w:val="toc 7"/>
    <w:basedOn w:val="378"/>
    <w:next w:val="378"/>
    <w:uiPriority w:val="39"/>
    <w:unhideWhenUsed/>
    <w:pPr>
      <w:ind w:left="1701" w:right="0" w:firstLine="0"/>
      <w:spacing w:after="57"/>
    </w:pPr>
  </w:style>
  <w:style w:type="paragraph" w:styleId="183">
    <w:name w:val="toc 8"/>
    <w:basedOn w:val="378"/>
    <w:next w:val="378"/>
    <w:uiPriority w:val="39"/>
    <w:unhideWhenUsed/>
    <w:pPr>
      <w:ind w:left="1984" w:right="0" w:firstLine="0"/>
      <w:spacing w:after="57"/>
    </w:pPr>
  </w:style>
  <w:style w:type="paragraph" w:styleId="184">
    <w:name w:val="toc 9"/>
    <w:basedOn w:val="378"/>
    <w:next w:val="378"/>
    <w:uiPriority w:val="39"/>
    <w:unhideWhenUsed/>
    <w:pPr>
      <w:ind w:left="2268" w:right="0" w:firstLine="0"/>
      <w:spacing w:after="57"/>
    </w:pPr>
  </w:style>
  <w:style w:type="paragraph" w:styleId="185">
    <w:name w:val="TOC Heading"/>
    <w:uiPriority w:val="39"/>
    <w:unhideWhenUsed/>
  </w:style>
  <w:style w:type="paragraph" w:styleId="378"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379">
    <w:name w:val="Heading 2"/>
    <w:basedOn w:val="378"/>
    <w:next w:val="378"/>
    <w:link w:val="395"/>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380" w:default="1">
    <w:name w:val="Default Paragraph Font"/>
    <w:qFormat/>
    <w:uiPriority w:val="0"/>
  </w:style>
  <w:style w:type="table" w:styleId="381" w:default="1">
    <w:name w:val="Normal Table"/>
    <w:qFormat/>
    <w:uiPriority w:val="0"/>
    <w:semiHidden/>
    <w:tblPr>
      <w:tblCellMar>
        <w:left w:w="108" w:type="dxa"/>
        <w:top w:w="0" w:type="dxa"/>
        <w:right w:w="108" w:type="dxa"/>
        <w:bottom w:w="0" w:type="dxa"/>
      </w:tblCellMar>
    </w:tblPr>
  </w:style>
  <w:style w:type="paragraph" w:styleId="382">
    <w:name w:val="Date"/>
    <w:basedOn w:val="378"/>
    <w:next w:val="378"/>
    <w:qFormat/>
    <w:uiPriority w:val="0"/>
    <w:pPr>
      <w:ind w:left="100"/>
    </w:pPr>
  </w:style>
  <w:style w:type="paragraph" w:styleId="383">
    <w:name w:val="endnote text"/>
    <w:basedOn w:val="378"/>
    <w:link w:val="396"/>
    <w:qFormat/>
    <w:uiPriority w:val="0"/>
    <w:pPr>
      <w:jc w:val="left"/>
    </w:pPr>
  </w:style>
  <w:style w:type="paragraph" w:styleId="384">
    <w:name w:val="Balloon Text"/>
    <w:basedOn w:val="378"/>
    <w:uiPriority w:val="0"/>
    <w:rPr>
      <w:sz w:val="18"/>
      <w:szCs w:val="18"/>
    </w:rPr>
  </w:style>
  <w:style w:type="paragraph" w:styleId="385">
    <w:name w:val="Footer"/>
    <w:basedOn w:val="378"/>
    <w:link w:val="397"/>
    <w:qFormat/>
    <w:uiPriority w:val="99"/>
    <w:rPr>
      <w:sz w:val="18"/>
      <w:szCs w:val="18"/>
    </w:rPr>
    <w:pPr>
      <w:jc w:val="left"/>
      <w:tabs>
        <w:tab w:val="center" w:pos="4153" w:leader="none"/>
        <w:tab w:val="right" w:pos="8306" w:leader="none"/>
      </w:tabs>
    </w:pPr>
  </w:style>
  <w:style w:type="paragraph" w:styleId="386">
    <w:name w:val="Header"/>
    <w:basedOn w:val="378"/>
    <w:link w:val="398"/>
    <w:qFormat/>
    <w:uiPriority w:val="99"/>
    <w:rPr>
      <w:sz w:val="18"/>
      <w:szCs w:val="18"/>
    </w:rPr>
    <w:pPr>
      <w:jc w:val="center"/>
      <w:tabs>
        <w:tab w:val="center" w:pos="4153" w:leader="none"/>
        <w:tab w:val="right" w:pos="8306" w:leader="none"/>
      </w:tabs>
      <w:pBdr>
        <w:bottom w:val="single" w:sz="6" w:space="1" w:color="auto"/>
      </w:pBdr>
    </w:pPr>
  </w:style>
  <w:style w:type="paragraph" w:styleId="387">
    <w:name w:val="footnote text"/>
    <w:basedOn w:val="378"/>
    <w:link w:val="399"/>
    <w:qFormat/>
    <w:uiPriority w:val="0"/>
    <w:rPr>
      <w:sz w:val="18"/>
      <w:szCs w:val="18"/>
    </w:rPr>
    <w:pPr>
      <w:jc w:val="left"/>
    </w:pPr>
  </w:style>
  <w:style w:type="paragraph" w:styleId="388">
    <w:name w:val="HTML Preformatted"/>
    <w:basedOn w:val="378"/>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389">
    <w:name w:val="Normal (Web)"/>
    <w:basedOn w:val="378"/>
    <w:qFormat/>
    <w:uiPriority w:val="0"/>
    <w:rPr>
      <w:sz w:val="24"/>
      <w:lang w:val="en-US" w:bidi="ar" w:eastAsia="zh-CN"/>
    </w:rPr>
    <w:pPr>
      <w:ind w:left="0" w:right="0"/>
      <w:jc w:val="left"/>
      <w:spacing w:after="100" w:afterAutospacing="1" w:before="100" w:beforeAutospacing="1"/>
    </w:pPr>
  </w:style>
  <w:style w:type="character" w:styleId="390">
    <w:name w:val="endnote reference"/>
    <w:qFormat/>
    <w:uiPriority w:val="0"/>
    <w:rPr>
      <w:vertAlign w:val="superscript"/>
    </w:rPr>
  </w:style>
  <w:style w:type="character" w:styleId="391">
    <w:name w:val="page number"/>
    <w:qFormat/>
    <w:uiPriority w:val="99"/>
    <w:unhideWhenUsed/>
    <w:rPr>
      <w:rFonts w:cs="Times New Roman" w:eastAsia="宋体"/>
      <w:szCs w:val="22"/>
      <w:lang w:eastAsia="zh-CN"/>
    </w:rPr>
  </w:style>
  <w:style w:type="character" w:styleId="392">
    <w:name w:val="Hyperlink"/>
    <w:qFormat/>
    <w:uiPriority w:val="0"/>
    <w:rPr>
      <w:color w:val="0000FF"/>
      <w:u w:val="single"/>
    </w:rPr>
  </w:style>
  <w:style w:type="character" w:styleId="393">
    <w:name w:val="footnote reference"/>
    <w:qFormat/>
    <w:uiPriority w:val="0"/>
    <w:rPr>
      <w:vertAlign w:val="superscript"/>
    </w:rPr>
  </w:style>
  <w:style w:type="table" w:styleId="394">
    <w:name w:val="Table Grid"/>
    <w:basedOn w:val="381"/>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95" w:customStyle="1">
    <w:name w:val="标题 2 Char"/>
    <w:link w:val="379"/>
    <w:qFormat/>
    <w:uiPriority w:val="0"/>
    <w:rPr>
      <w:rFonts w:ascii="Arial" w:hAnsi="Arial" w:eastAsia="黑体"/>
      <w:b/>
      <w:bCs/>
      <w:sz w:val="32"/>
      <w:szCs w:val="32"/>
    </w:rPr>
  </w:style>
  <w:style w:type="character" w:styleId="396" w:customStyle="1">
    <w:name w:val="尾注文本 Char"/>
    <w:link w:val="383"/>
    <w:qFormat/>
    <w:uiPriority w:val="0"/>
    <w:rPr>
      <w:sz w:val="21"/>
      <w:szCs w:val="24"/>
    </w:rPr>
  </w:style>
  <w:style w:type="character" w:styleId="397" w:customStyle="1">
    <w:name w:val="页脚 Char"/>
    <w:link w:val="385"/>
    <w:qFormat/>
    <w:uiPriority w:val="99"/>
    <w:rPr>
      <w:sz w:val="18"/>
      <w:szCs w:val="18"/>
    </w:rPr>
  </w:style>
  <w:style w:type="character" w:styleId="398" w:customStyle="1">
    <w:name w:val="页眉 Char"/>
    <w:link w:val="386"/>
    <w:qFormat/>
    <w:uiPriority w:val="99"/>
    <w:rPr>
      <w:sz w:val="18"/>
      <w:szCs w:val="18"/>
    </w:rPr>
  </w:style>
  <w:style w:type="character" w:styleId="399" w:customStyle="1">
    <w:name w:val="脚注文本 Char"/>
    <w:link w:val="387"/>
    <w:qFormat/>
    <w:uiPriority w:val="0"/>
    <w:rPr>
      <w:sz w:val="18"/>
      <w:szCs w:val="18"/>
    </w:rPr>
  </w:style>
  <w:style w:type="numbering" w:styleId="1482"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yy</cp:lastModifiedBy>
  <cp:revision>3</cp:revision>
  <dcterms:created xsi:type="dcterms:W3CDTF">2020-04-10T01:46:00Z</dcterms:created>
  <dcterms:modified xsi:type="dcterms:W3CDTF">2020-11-23T08:23:22Z</dcterms:modified>
</cp:coreProperties>
</file>